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9E" w:rsidRDefault="009C529E" w:rsidP="003C63FE">
      <w:pPr>
        <w:spacing w:after="0" w:line="240" w:lineRule="auto"/>
        <w:jc w:val="both"/>
        <w:rPr>
          <w:rFonts w:ascii="Arial" w:hAnsi="Arial" w:cs="Arial"/>
        </w:rPr>
      </w:pPr>
    </w:p>
    <w:p w:rsidR="00A720A7" w:rsidRPr="00E41397" w:rsidRDefault="00B2342A" w:rsidP="00E41397">
      <w:pPr>
        <w:rPr>
          <w:rFonts w:ascii="Arial" w:hAnsi="Arial" w:cs="Arial"/>
          <w:b/>
          <w:sz w:val="24"/>
          <w:szCs w:val="24"/>
        </w:rPr>
      </w:pPr>
      <w:r w:rsidRPr="00E41397">
        <w:rPr>
          <w:rFonts w:ascii="Arial" w:hAnsi="Arial" w:cs="Arial"/>
          <w:b/>
          <w:sz w:val="24"/>
          <w:szCs w:val="24"/>
        </w:rPr>
        <w:t xml:space="preserve">Credit </w:t>
      </w:r>
      <w:bookmarkStart w:id="0" w:name="_GoBack"/>
      <w:r w:rsidR="008C1D69">
        <w:rPr>
          <w:rFonts w:ascii="Arial" w:hAnsi="Arial" w:cs="Arial"/>
          <w:b/>
          <w:sz w:val="24"/>
          <w:szCs w:val="24"/>
        </w:rPr>
        <w:t>(</w:t>
      </w:r>
      <w:r w:rsidR="008C1D69" w:rsidRPr="00E41397">
        <w:rPr>
          <w:rFonts w:ascii="Arial" w:hAnsi="Arial" w:cs="Arial"/>
          <w:b/>
          <w:sz w:val="24"/>
          <w:szCs w:val="24"/>
        </w:rPr>
        <w:t>Bank Loan</w:t>
      </w:r>
      <w:r w:rsidR="008C1D69">
        <w:rPr>
          <w:rFonts w:ascii="Arial" w:hAnsi="Arial" w:cs="Arial"/>
          <w:b/>
          <w:sz w:val="24"/>
          <w:szCs w:val="24"/>
        </w:rPr>
        <w:t>s</w:t>
      </w:r>
      <w:r w:rsidR="008C1D69" w:rsidRPr="00E41397">
        <w:rPr>
          <w:rFonts w:ascii="Arial" w:hAnsi="Arial" w:cs="Arial"/>
          <w:b/>
          <w:sz w:val="24"/>
          <w:szCs w:val="24"/>
        </w:rPr>
        <w:t xml:space="preserve"> / Short Duration High Yield</w:t>
      </w:r>
      <w:r w:rsidR="008C1D69">
        <w:rPr>
          <w:rFonts w:ascii="Arial" w:hAnsi="Arial" w:cs="Arial"/>
          <w:b/>
          <w:sz w:val="24"/>
          <w:szCs w:val="24"/>
        </w:rPr>
        <w:t xml:space="preserve">) </w:t>
      </w:r>
      <w:bookmarkEnd w:id="0"/>
      <w:r w:rsidR="008C1D69">
        <w:rPr>
          <w:rFonts w:ascii="Arial" w:hAnsi="Arial" w:cs="Arial"/>
          <w:b/>
          <w:sz w:val="24"/>
          <w:szCs w:val="24"/>
        </w:rPr>
        <w:t>Allocation</w:t>
      </w:r>
      <w:r w:rsidR="00D357D1" w:rsidRPr="00E41397">
        <w:rPr>
          <w:rFonts w:ascii="Arial" w:hAnsi="Arial" w:cs="Arial"/>
          <w:b/>
          <w:sz w:val="24"/>
          <w:szCs w:val="24"/>
        </w:rPr>
        <w:t xml:space="preserve"> </w:t>
      </w:r>
      <w:r w:rsidR="00C406A3" w:rsidRPr="00E41397">
        <w:rPr>
          <w:rFonts w:ascii="Arial" w:hAnsi="Arial" w:cs="Arial"/>
          <w:b/>
          <w:sz w:val="24"/>
          <w:szCs w:val="24"/>
        </w:rPr>
        <w:tab/>
      </w:r>
      <w:r w:rsidR="00C406A3" w:rsidRPr="00E41397">
        <w:rPr>
          <w:rFonts w:ascii="Arial" w:hAnsi="Arial" w:cs="Arial"/>
          <w:b/>
          <w:sz w:val="24"/>
          <w:szCs w:val="24"/>
          <w:highlight w:val="yellow"/>
        </w:rPr>
        <w:t>DRAFT</w:t>
      </w:r>
      <w:r w:rsidR="00C406A3" w:rsidRPr="00E41397">
        <w:rPr>
          <w:rFonts w:ascii="Arial" w:hAnsi="Arial" w:cs="Arial"/>
          <w:b/>
          <w:sz w:val="24"/>
          <w:szCs w:val="24"/>
        </w:rPr>
        <w:t xml:space="preserve"> </w:t>
      </w:r>
    </w:p>
    <w:p w:rsidR="006E5A6D" w:rsidRPr="00E41397" w:rsidRDefault="00D04A7E" w:rsidP="00E413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of the real return allocation, </w:t>
      </w:r>
      <w:r w:rsidR="008C1D69">
        <w:rPr>
          <w:rFonts w:ascii="Arial" w:hAnsi="Arial" w:cs="Arial"/>
          <w:sz w:val="24"/>
          <w:szCs w:val="24"/>
        </w:rPr>
        <w:t>c</w:t>
      </w:r>
      <w:r w:rsidR="006F23EC" w:rsidRPr="00E41397">
        <w:rPr>
          <w:rFonts w:ascii="Arial" w:hAnsi="Arial" w:cs="Arial"/>
          <w:sz w:val="24"/>
          <w:szCs w:val="24"/>
        </w:rPr>
        <w:t>redit</w:t>
      </w:r>
      <w:r w:rsidR="00A90336" w:rsidRPr="00E41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investments are expected </w:t>
      </w:r>
      <w:r w:rsidR="00823291" w:rsidRPr="00E41397">
        <w:rPr>
          <w:rFonts w:ascii="Arial" w:hAnsi="Arial" w:cs="Arial"/>
          <w:sz w:val="24"/>
          <w:szCs w:val="24"/>
        </w:rPr>
        <w:t>to generate high current income</w:t>
      </w:r>
      <w:r w:rsidR="008B1A71" w:rsidRPr="00E41397">
        <w:rPr>
          <w:rFonts w:ascii="Arial" w:hAnsi="Arial" w:cs="Arial"/>
          <w:sz w:val="24"/>
          <w:szCs w:val="24"/>
        </w:rPr>
        <w:t xml:space="preserve"> and positive real return</w:t>
      </w:r>
      <w:r>
        <w:rPr>
          <w:rFonts w:ascii="Arial" w:hAnsi="Arial" w:cs="Arial"/>
          <w:sz w:val="24"/>
          <w:szCs w:val="24"/>
        </w:rPr>
        <w:t>s</w:t>
      </w:r>
      <w:r w:rsidR="008B1A71" w:rsidRPr="00E41397">
        <w:rPr>
          <w:rFonts w:ascii="Arial" w:hAnsi="Arial" w:cs="Arial"/>
          <w:sz w:val="24"/>
          <w:szCs w:val="24"/>
        </w:rPr>
        <w:t xml:space="preserve"> over a full market cycle</w:t>
      </w:r>
      <w:r w:rsidR="00823291" w:rsidRPr="00E41397">
        <w:rPr>
          <w:rFonts w:ascii="Arial" w:hAnsi="Arial" w:cs="Arial"/>
          <w:sz w:val="24"/>
          <w:szCs w:val="24"/>
        </w:rPr>
        <w:t>.</w:t>
      </w:r>
      <w:r w:rsidR="00A90336" w:rsidRPr="00E41397">
        <w:rPr>
          <w:rFonts w:ascii="Arial" w:hAnsi="Arial" w:cs="Arial"/>
          <w:sz w:val="24"/>
          <w:szCs w:val="24"/>
        </w:rPr>
        <w:t xml:space="preserve"> </w:t>
      </w:r>
      <w:r w:rsidR="00746267" w:rsidRPr="00E41397">
        <w:rPr>
          <w:rFonts w:ascii="Arial" w:hAnsi="Arial" w:cs="Arial"/>
          <w:sz w:val="24"/>
          <w:szCs w:val="24"/>
        </w:rPr>
        <w:t xml:space="preserve">Income generation is the primary role, </w:t>
      </w:r>
      <w:r>
        <w:rPr>
          <w:rFonts w:ascii="Arial" w:hAnsi="Arial" w:cs="Arial"/>
          <w:sz w:val="24"/>
          <w:szCs w:val="24"/>
        </w:rPr>
        <w:t>with</w:t>
      </w:r>
      <w:r w:rsidR="00746267" w:rsidRPr="00E41397">
        <w:rPr>
          <w:rFonts w:ascii="Arial" w:hAnsi="Arial" w:cs="Arial"/>
          <w:sz w:val="24"/>
          <w:szCs w:val="24"/>
        </w:rPr>
        <w:t xml:space="preserve"> diversification and liquidity secondary considerations. </w:t>
      </w:r>
      <w:r w:rsidR="006F6B17">
        <w:rPr>
          <w:rFonts w:ascii="Arial" w:hAnsi="Arial" w:cs="Arial"/>
          <w:sz w:val="24"/>
          <w:szCs w:val="24"/>
        </w:rPr>
        <w:t xml:space="preserve">Generally issued by non-investment grade companies, these securities carry higher risks and returns than core investment-grade fixed income. </w:t>
      </w:r>
      <w:r>
        <w:rPr>
          <w:rFonts w:ascii="Arial" w:hAnsi="Arial" w:cs="Arial"/>
          <w:sz w:val="24"/>
          <w:szCs w:val="24"/>
        </w:rPr>
        <w:t xml:space="preserve">By focusing credit investments in floating-rate bank loans and short-duration high yield securities, the </w:t>
      </w:r>
      <w:r w:rsidR="006F6B17">
        <w:rPr>
          <w:rFonts w:ascii="Arial" w:hAnsi="Arial" w:cs="Arial"/>
          <w:sz w:val="24"/>
          <w:szCs w:val="24"/>
        </w:rPr>
        <w:t>allocation seeks</w:t>
      </w:r>
      <w:r>
        <w:rPr>
          <w:rFonts w:ascii="Arial" w:hAnsi="Arial" w:cs="Arial"/>
          <w:sz w:val="24"/>
          <w:szCs w:val="24"/>
        </w:rPr>
        <w:t xml:space="preserve"> to minimize duration risk and provide diversification from core fixed-income investments. Contracted payouts limit the upside and provide diversification to equities. The credit allocation is expected to perform best in relatively unchanged (status quo) market environments.</w:t>
      </w:r>
    </w:p>
    <w:p w:rsidR="00A90336" w:rsidRPr="00E41397" w:rsidRDefault="00A90336" w:rsidP="00E41397">
      <w:pPr>
        <w:spacing w:after="0"/>
        <w:rPr>
          <w:rFonts w:ascii="Arial" w:hAnsi="Arial" w:cs="Arial"/>
          <w:sz w:val="24"/>
          <w:szCs w:val="24"/>
        </w:rPr>
      </w:pPr>
    </w:p>
    <w:p w:rsidR="006F6B17" w:rsidRDefault="00D04A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structure of the market and the potential to generate outperformance through </w:t>
      </w:r>
      <w:r w:rsidR="006F6B17">
        <w:rPr>
          <w:rFonts w:ascii="Arial" w:hAnsi="Arial" w:cs="Arial"/>
          <w:sz w:val="24"/>
          <w:szCs w:val="24"/>
        </w:rPr>
        <w:t xml:space="preserve">security selection, the credit allocation is actively managed. To ensure the goal of minimizing interest-rate risk, manager guidelines allow only moderate latitude to differ from the benchmark’s duration. </w:t>
      </w:r>
    </w:p>
    <w:p w:rsidR="003341D8" w:rsidRPr="00E41397" w:rsidRDefault="003341D8">
      <w:pPr>
        <w:spacing w:after="0"/>
        <w:rPr>
          <w:rFonts w:ascii="Arial" w:hAnsi="Arial" w:cs="Arial"/>
          <w:sz w:val="24"/>
          <w:szCs w:val="24"/>
        </w:rPr>
      </w:pPr>
    </w:p>
    <w:p w:rsidR="00580824" w:rsidRPr="00E41397" w:rsidRDefault="00580824" w:rsidP="00E41397">
      <w:p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 xml:space="preserve">The </w:t>
      </w:r>
      <w:r w:rsidR="006F6B17">
        <w:rPr>
          <w:rFonts w:ascii="Arial" w:hAnsi="Arial" w:cs="Arial"/>
          <w:sz w:val="24"/>
          <w:szCs w:val="24"/>
        </w:rPr>
        <w:t>overall c</w:t>
      </w:r>
      <w:r w:rsidRPr="00E41397">
        <w:rPr>
          <w:rFonts w:ascii="Arial" w:hAnsi="Arial" w:cs="Arial"/>
          <w:sz w:val="24"/>
          <w:szCs w:val="24"/>
        </w:rPr>
        <w:t xml:space="preserve">redit </w:t>
      </w:r>
      <w:r w:rsidR="006F6B17">
        <w:rPr>
          <w:rFonts w:ascii="Arial" w:hAnsi="Arial" w:cs="Arial"/>
          <w:sz w:val="24"/>
          <w:szCs w:val="24"/>
        </w:rPr>
        <w:t>allocation</w:t>
      </w:r>
      <w:r w:rsidR="006F6B17" w:rsidRPr="00E41397">
        <w:rPr>
          <w:rFonts w:ascii="Arial" w:hAnsi="Arial" w:cs="Arial"/>
          <w:sz w:val="24"/>
          <w:szCs w:val="24"/>
        </w:rPr>
        <w:t xml:space="preserve"> </w:t>
      </w:r>
      <w:r w:rsidRPr="00E41397">
        <w:rPr>
          <w:rFonts w:ascii="Arial" w:hAnsi="Arial" w:cs="Arial"/>
          <w:sz w:val="24"/>
          <w:szCs w:val="24"/>
        </w:rPr>
        <w:t xml:space="preserve">has a blended benchmark of 70% Credit Suisse </w:t>
      </w:r>
      <w:r w:rsidR="006774FD">
        <w:rPr>
          <w:rFonts w:ascii="Arial" w:hAnsi="Arial" w:cs="Arial"/>
          <w:sz w:val="24"/>
          <w:szCs w:val="24"/>
        </w:rPr>
        <w:t xml:space="preserve">Institutional </w:t>
      </w:r>
      <w:r w:rsidRPr="00E41397">
        <w:rPr>
          <w:rFonts w:ascii="Arial" w:hAnsi="Arial" w:cs="Arial"/>
          <w:sz w:val="24"/>
          <w:szCs w:val="24"/>
        </w:rPr>
        <w:t>Lever</w:t>
      </w:r>
      <w:r w:rsidR="006F6B17">
        <w:rPr>
          <w:rFonts w:ascii="Arial" w:hAnsi="Arial" w:cs="Arial"/>
          <w:sz w:val="24"/>
          <w:szCs w:val="24"/>
        </w:rPr>
        <w:t>ag</w:t>
      </w:r>
      <w:r w:rsidRPr="00E41397">
        <w:rPr>
          <w:rFonts w:ascii="Arial" w:hAnsi="Arial" w:cs="Arial"/>
          <w:sz w:val="24"/>
          <w:szCs w:val="24"/>
        </w:rPr>
        <w:t>ed Loan Index and 30%</w:t>
      </w:r>
      <w:r w:rsidR="00D50470">
        <w:rPr>
          <w:rFonts w:ascii="Arial" w:hAnsi="Arial" w:cs="Arial"/>
          <w:sz w:val="24"/>
          <w:szCs w:val="24"/>
        </w:rPr>
        <w:t xml:space="preserve"> Bank of America </w:t>
      </w:r>
      <w:r w:rsidRPr="00E41397">
        <w:rPr>
          <w:rFonts w:ascii="Arial" w:hAnsi="Arial" w:cs="Arial"/>
          <w:sz w:val="24"/>
          <w:szCs w:val="24"/>
        </w:rPr>
        <w:t xml:space="preserve">Merrill Lynch 1-3 year BB-B </w:t>
      </w:r>
      <w:r w:rsidR="00746267">
        <w:rPr>
          <w:rFonts w:ascii="Arial" w:hAnsi="Arial" w:cs="Arial"/>
          <w:sz w:val="24"/>
          <w:szCs w:val="24"/>
        </w:rPr>
        <w:t xml:space="preserve">High Yield </w:t>
      </w:r>
      <w:r w:rsidRPr="00E41397">
        <w:rPr>
          <w:rFonts w:ascii="Arial" w:hAnsi="Arial" w:cs="Arial"/>
          <w:sz w:val="24"/>
          <w:szCs w:val="24"/>
        </w:rPr>
        <w:t xml:space="preserve">Index. </w:t>
      </w:r>
      <w:r w:rsidR="006F6B17">
        <w:rPr>
          <w:rFonts w:ascii="Arial" w:hAnsi="Arial" w:cs="Arial"/>
          <w:sz w:val="24"/>
          <w:szCs w:val="24"/>
        </w:rPr>
        <w:t>Individual managers may have benchmarks tailored to their particular investment style</w:t>
      </w:r>
      <w:r w:rsidR="00803721">
        <w:rPr>
          <w:rFonts w:ascii="Arial" w:hAnsi="Arial" w:cs="Arial"/>
          <w:sz w:val="24"/>
          <w:szCs w:val="24"/>
        </w:rPr>
        <w:t xml:space="preserve"> while seeking to achieve the overall goal</w:t>
      </w:r>
      <w:r w:rsidR="006F6B17">
        <w:rPr>
          <w:rFonts w:ascii="Arial" w:hAnsi="Arial" w:cs="Arial"/>
          <w:sz w:val="24"/>
          <w:szCs w:val="24"/>
        </w:rPr>
        <w:t xml:space="preserve">. </w:t>
      </w:r>
    </w:p>
    <w:p w:rsidR="005653DE" w:rsidRPr="00E41397" w:rsidRDefault="005653DE" w:rsidP="00E41397">
      <w:pPr>
        <w:spacing w:after="0"/>
        <w:rPr>
          <w:rFonts w:ascii="Arial" w:hAnsi="Arial" w:cs="Arial"/>
          <w:sz w:val="24"/>
          <w:szCs w:val="24"/>
        </w:rPr>
      </w:pPr>
    </w:p>
    <w:p w:rsidR="007F354A" w:rsidRPr="000E0C5E" w:rsidRDefault="006F6B17" w:rsidP="00E41397">
      <w:pPr>
        <w:spacing w:after="0"/>
        <w:rPr>
          <w:rFonts w:ascii="Arial" w:hAnsi="Arial" w:cs="Arial"/>
          <w:i/>
          <w:sz w:val="24"/>
          <w:szCs w:val="24"/>
        </w:rPr>
      </w:pPr>
      <w:r w:rsidRPr="000E0C5E">
        <w:rPr>
          <w:rFonts w:ascii="Arial" w:hAnsi="Arial" w:cs="Arial"/>
          <w:i/>
          <w:sz w:val="24"/>
        </w:rPr>
        <w:t>SIC Investment Philosophy - Credit (Bank Loans / Short Duration High Yield</w:t>
      </w:r>
      <w:r w:rsidR="006B77DA" w:rsidRPr="000E0C5E">
        <w:rPr>
          <w:rFonts w:ascii="Arial" w:hAnsi="Arial" w:cs="Arial"/>
          <w:i/>
          <w:sz w:val="24"/>
        </w:rPr>
        <w:t>)</w:t>
      </w:r>
      <w:r w:rsidRPr="000E0C5E">
        <w:rPr>
          <w:rFonts w:ascii="Arial" w:hAnsi="Arial" w:cs="Arial"/>
          <w:i/>
          <w:sz w:val="24"/>
        </w:rPr>
        <w:t>:</w:t>
      </w:r>
    </w:p>
    <w:p w:rsidR="00805A6C" w:rsidRPr="00E41397" w:rsidRDefault="00805A6C" w:rsidP="00E41397">
      <w:pPr>
        <w:spacing w:after="0"/>
        <w:rPr>
          <w:rFonts w:ascii="Arial" w:hAnsi="Arial" w:cs="Arial"/>
          <w:sz w:val="24"/>
          <w:szCs w:val="24"/>
        </w:rPr>
      </w:pPr>
    </w:p>
    <w:p w:rsidR="007F354A" w:rsidRPr="00E41397" w:rsidRDefault="006F6B17" w:rsidP="00E4139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The SIC</w:t>
      </w:r>
      <w:r w:rsidRPr="006A1A6D">
        <w:rPr>
          <w:rFonts w:ascii="Arial" w:hAnsi="Arial" w:cs="Arial"/>
          <w:sz w:val="24"/>
        </w:rPr>
        <w:t xml:space="preserve"> is a long-term investor in </w:t>
      </w:r>
      <w:r w:rsidR="006B77DA">
        <w:rPr>
          <w:rFonts w:ascii="Arial" w:hAnsi="Arial" w:cs="Arial"/>
          <w:sz w:val="24"/>
        </w:rPr>
        <w:t>credit securities</w:t>
      </w:r>
      <w:r w:rsidR="00803721">
        <w:rPr>
          <w:rFonts w:ascii="Arial" w:hAnsi="Arial" w:cs="Arial"/>
          <w:sz w:val="24"/>
        </w:rPr>
        <w:t>, expecting moderate returns over a full market cycle</w:t>
      </w:r>
      <w:r w:rsidR="006B77DA">
        <w:rPr>
          <w:rFonts w:ascii="Arial" w:hAnsi="Arial" w:cs="Arial"/>
          <w:sz w:val="24"/>
        </w:rPr>
        <w:t>.</w:t>
      </w:r>
    </w:p>
    <w:p w:rsidR="00A90336" w:rsidRPr="00E41397" w:rsidRDefault="00A90336" w:rsidP="00E4139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F354A" w:rsidRPr="00E41397" w:rsidRDefault="00580824" w:rsidP="00E4139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 xml:space="preserve">The </w:t>
      </w:r>
      <w:r w:rsidR="006B77DA">
        <w:rPr>
          <w:rFonts w:ascii="Arial" w:hAnsi="Arial" w:cs="Arial"/>
          <w:sz w:val="24"/>
          <w:szCs w:val="24"/>
        </w:rPr>
        <w:t>c</w:t>
      </w:r>
      <w:r w:rsidR="006B77DA" w:rsidRPr="00E41397">
        <w:rPr>
          <w:rFonts w:ascii="Arial" w:hAnsi="Arial" w:cs="Arial"/>
          <w:sz w:val="24"/>
          <w:szCs w:val="24"/>
        </w:rPr>
        <w:t xml:space="preserve">redit </w:t>
      </w:r>
      <w:r w:rsidR="006B77DA">
        <w:rPr>
          <w:rFonts w:ascii="Arial" w:hAnsi="Arial" w:cs="Arial"/>
          <w:sz w:val="24"/>
          <w:szCs w:val="24"/>
        </w:rPr>
        <w:t>allocation</w:t>
      </w:r>
      <w:r w:rsidR="006B77DA" w:rsidRPr="00E41397">
        <w:rPr>
          <w:rFonts w:ascii="Arial" w:hAnsi="Arial" w:cs="Arial"/>
          <w:sz w:val="24"/>
          <w:szCs w:val="24"/>
        </w:rPr>
        <w:t xml:space="preserve"> </w:t>
      </w:r>
      <w:r w:rsidR="007F354A" w:rsidRPr="00E41397">
        <w:rPr>
          <w:rFonts w:ascii="Arial" w:hAnsi="Arial" w:cs="Arial"/>
          <w:sz w:val="24"/>
          <w:szCs w:val="24"/>
        </w:rPr>
        <w:t xml:space="preserve">plays </w:t>
      </w:r>
      <w:r w:rsidR="006B77DA">
        <w:rPr>
          <w:rFonts w:ascii="Arial" w:hAnsi="Arial" w:cs="Arial"/>
          <w:sz w:val="24"/>
        </w:rPr>
        <w:t>the following</w:t>
      </w:r>
      <w:r w:rsidR="006B77DA" w:rsidRPr="006A1A6D">
        <w:rPr>
          <w:rFonts w:ascii="Arial" w:hAnsi="Arial" w:cs="Arial"/>
          <w:sz w:val="24"/>
        </w:rPr>
        <w:t xml:space="preserve"> roles </w:t>
      </w:r>
      <w:r w:rsidR="006B77DA">
        <w:rPr>
          <w:rFonts w:ascii="Arial" w:hAnsi="Arial" w:cs="Arial"/>
          <w:sz w:val="24"/>
        </w:rPr>
        <w:t>for</w:t>
      </w:r>
      <w:r w:rsidR="006B77DA" w:rsidRPr="006A1A6D">
        <w:rPr>
          <w:rFonts w:ascii="Arial" w:hAnsi="Arial" w:cs="Arial"/>
          <w:sz w:val="24"/>
        </w:rPr>
        <w:t xml:space="preserve"> the total portfolio</w:t>
      </w:r>
      <w:r w:rsidR="006B77DA">
        <w:rPr>
          <w:rFonts w:ascii="Arial" w:hAnsi="Arial" w:cs="Arial"/>
          <w:sz w:val="24"/>
        </w:rPr>
        <w:t>:</w:t>
      </w:r>
    </w:p>
    <w:p w:rsidR="007F354A" w:rsidRPr="00E41397" w:rsidRDefault="007F354A" w:rsidP="00E41397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 xml:space="preserve">Income generation </w:t>
      </w:r>
    </w:p>
    <w:p w:rsidR="00D07D6E" w:rsidRDefault="00D07D6E" w:rsidP="00E41397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>Mode</w:t>
      </w:r>
      <w:r w:rsidR="00803721">
        <w:rPr>
          <w:rFonts w:ascii="Arial" w:hAnsi="Arial" w:cs="Arial"/>
          <w:sz w:val="24"/>
          <w:szCs w:val="24"/>
        </w:rPr>
        <w:t>rate</w:t>
      </w:r>
      <w:r w:rsidRPr="00E41397">
        <w:rPr>
          <w:rFonts w:ascii="Arial" w:hAnsi="Arial" w:cs="Arial"/>
          <w:sz w:val="24"/>
          <w:szCs w:val="24"/>
        </w:rPr>
        <w:t xml:space="preserve"> </w:t>
      </w:r>
      <w:r w:rsidR="00803721">
        <w:rPr>
          <w:rFonts w:ascii="Arial" w:hAnsi="Arial" w:cs="Arial"/>
          <w:sz w:val="24"/>
          <w:szCs w:val="24"/>
        </w:rPr>
        <w:t>portfolio</w:t>
      </w:r>
      <w:r w:rsidRPr="00E41397">
        <w:rPr>
          <w:rFonts w:ascii="Arial" w:hAnsi="Arial" w:cs="Arial"/>
          <w:sz w:val="24"/>
          <w:szCs w:val="24"/>
        </w:rPr>
        <w:t xml:space="preserve"> diversification </w:t>
      </w:r>
    </w:p>
    <w:p w:rsidR="00803721" w:rsidRPr="00E41397" w:rsidRDefault="00803721" w:rsidP="00E41397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Moderate volatility</w:t>
      </w:r>
    </w:p>
    <w:p w:rsidR="007F354A" w:rsidRPr="00E41397" w:rsidRDefault="00580824" w:rsidP="00E41397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 xml:space="preserve">Moderate </w:t>
      </w:r>
      <w:r w:rsidR="006B77DA">
        <w:rPr>
          <w:rFonts w:ascii="Arial" w:hAnsi="Arial" w:cs="Arial"/>
          <w:sz w:val="24"/>
          <w:szCs w:val="24"/>
        </w:rPr>
        <w:t>l</w:t>
      </w:r>
      <w:r w:rsidR="006B77DA" w:rsidRPr="00E41397">
        <w:rPr>
          <w:rFonts w:ascii="Arial" w:hAnsi="Arial" w:cs="Arial"/>
          <w:sz w:val="24"/>
          <w:szCs w:val="24"/>
        </w:rPr>
        <w:t xml:space="preserve">iquidity  </w:t>
      </w:r>
    </w:p>
    <w:p w:rsidR="00580824" w:rsidRPr="00E41397" w:rsidRDefault="00580824" w:rsidP="00E41397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F354A" w:rsidRPr="00E41397" w:rsidRDefault="008B1A71" w:rsidP="00E4139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>Portfolio duration is</w:t>
      </w:r>
      <w:r w:rsidR="00746267">
        <w:rPr>
          <w:rFonts w:ascii="Arial" w:hAnsi="Arial" w:cs="Arial"/>
          <w:sz w:val="24"/>
          <w:szCs w:val="24"/>
        </w:rPr>
        <w:t xml:space="preserve"> expected to be managed within </w:t>
      </w:r>
      <w:r w:rsidR="00803721">
        <w:rPr>
          <w:rFonts w:ascii="Arial" w:hAnsi="Arial" w:cs="Arial"/>
          <w:sz w:val="24"/>
        </w:rPr>
        <w:t>±</w:t>
      </w:r>
      <w:r w:rsidR="005C77AC">
        <w:rPr>
          <w:rFonts w:ascii="Arial" w:hAnsi="Arial" w:cs="Arial"/>
          <w:sz w:val="24"/>
          <w:szCs w:val="24"/>
        </w:rPr>
        <w:t>6</w:t>
      </w:r>
      <w:r w:rsidR="00746267">
        <w:rPr>
          <w:rFonts w:ascii="Arial" w:hAnsi="Arial" w:cs="Arial"/>
          <w:sz w:val="24"/>
          <w:szCs w:val="24"/>
        </w:rPr>
        <w:t>0% of the benchmark duration and</w:t>
      </w:r>
      <w:r w:rsidRPr="00E41397">
        <w:rPr>
          <w:rFonts w:ascii="Arial" w:hAnsi="Arial" w:cs="Arial"/>
          <w:sz w:val="24"/>
          <w:szCs w:val="24"/>
        </w:rPr>
        <w:t xml:space="preserve"> not to exceed </w:t>
      </w:r>
      <w:r w:rsidR="005C77AC">
        <w:rPr>
          <w:rFonts w:ascii="Arial" w:hAnsi="Arial" w:cs="Arial"/>
          <w:sz w:val="24"/>
          <w:szCs w:val="24"/>
        </w:rPr>
        <w:t>4</w:t>
      </w:r>
      <w:r w:rsidR="00803721" w:rsidRPr="00E41397">
        <w:rPr>
          <w:rFonts w:ascii="Arial" w:hAnsi="Arial" w:cs="Arial"/>
          <w:sz w:val="24"/>
          <w:szCs w:val="24"/>
        </w:rPr>
        <w:t xml:space="preserve"> </w:t>
      </w:r>
      <w:r w:rsidRPr="00E41397">
        <w:rPr>
          <w:rFonts w:ascii="Arial" w:hAnsi="Arial" w:cs="Arial"/>
          <w:sz w:val="24"/>
          <w:szCs w:val="24"/>
        </w:rPr>
        <w:t>year</w:t>
      </w:r>
      <w:r w:rsidR="00803721">
        <w:rPr>
          <w:rFonts w:ascii="Arial" w:hAnsi="Arial" w:cs="Arial"/>
          <w:sz w:val="24"/>
          <w:szCs w:val="24"/>
        </w:rPr>
        <w:t>s</w:t>
      </w:r>
      <w:r w:rsidRPr="00E41397">
        <w:rPr>
          <w:rFonts w:ascii="Arial" w:hAnsi="Arial" w:cs="Arial"/>
          <w:sz w:val="24"/>
          <w:szCs w:val="24"/>
        </w:rPr>
        <w:t>.</w:t>
      </w:r>
    </w:p>
    <w:p w:rsidR="00A90336" w:rsidRPr="00E41397" w:rsidRDefault="00A90336" w:rsidP="00E41397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A720A7" w:rsidRPr="00E41397" w:rsidRDefault="007F354A" w:rsidP="000E0C5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 xml:space="preserve">The SIC believes that, over the long-term, the additional return for accepting </w:t>
      </w:r>
      <w:r w:rsidR="00803721" w:rsidRPr="00E41397">
        <w:rPr>
          <w:rFonts w:ascii="Arial" w:hAnsi="Arial" w:cs="Arial"/>
          <w:sz w:val="24"/>
          <w:szCs w:val="24"/>
        </w:rPr>
        <w:t>mode</w:t>
      </w:r>
      <w:r w:rsidR="00803721">
        <w:rPr>
          <w:rFonts w:ascii="Arial" w:hAnsi="Arial" w:cs="Arial"/>
          <w:sz w:val="24"/>
          <w:szCs w:val="24"/>
        </w:rPr>
        <w:t>rate</w:t>
      </w:r>
      <w:r w:rsidR="00803721" w:rsidRPr="00E41397">
        <w:rPr>
          <w:rFonts w:ascii="Arial" w:hAnsi="Arial" w:cs="Arial"/>
          <w:sz w:val="24"/>
          <w:szCs w:val="24"/>
        </w:rPr>
        <w:t xml:space="preserve"> </w:t>
      </w:r>
      <w:r w:rsidRPr="00E41397">
        <w:rPr>
          <w:rFonts w:ascii="Arial" w:hAnsi="Arial" w:cs="Arial"/>
          <w:sz w:val="24"/>
          <w:szCs w:val="24"/>
        </w:rPr>
        <w:t>levels of credit risk</w:t>
      </w:r>
      <w:r w:rsidR="00803721">
        <w:rPr>
          <w:rFonts w:ascii="Arial" w:hAnsi="Arial" w:cs="Arial"/>
          <w:sz w:val="24"/>
          <w:szCs w:val="24"/>
        </w:rPr>
        <w:t>, including non-investment grade debt,</w:t>
      </w:r>
      <w:r w:rsidRPr="00E41397">
        <w:rPr>
          <w:rFonts w:ascii="Arial" w:hAnsi="Arial" w:cs="Arial"/>
          <w:sz w:val="24"/>
          <w:szCs w:val="24"/>
        </w:rPr>
        <w:t xml:space="preserve"> outweigh</w:t>
      </w:r>
      <w:r w:rsidR="00803721">
        <w:rPr>
          <w:rFonts w:ascii="Arial" w:hAnsi="Arial" w:cs="Arial"/>
          <w:sz w:val="24"/>
          <w:szCs w:val="24"/>
        </w:rPr>
        <w:t>s</w:t>
      </w:r>
      <w:r w:rsidRPr="00E41397">
        <w:rPr>
          <w:rFonts w:ascii="Arial" w:hAnsi="Arial" w:cs="Arial"/>
          <w:sz w:val="24"/>
          <w:szCs w:val="24"/>
        </w:rPr>
        <w:t xml:space="preserve"> the </w:t>
      </w:r>
      <w:r w:rsidR="00D07D6E" w:rsidRPr="00E41397">
        <w:rPr>
          <w:rFonts w:ascii="Arial" w:hAnsi="Arial" w:cs="Arial"/>
          <w:sz w:val="24"/>
          <w:szCs w:val="24"/>
        </w:rPr>
        <w:t xml:space="preserve">higher </w:t>
      </w:r>
      <w:r w:rsidRPr="00E41397">
        <w:rPr>
          <w:rFonts w:ascii="Arial" w:hAnsi="Arial" w:cs="Arial"/>
          <w:sz w:val="24"/>
          <w:szCs w:val="24"/>
        </w:rPr>
        <w:t xml:space="preserve">levels of return volatility that may be produced in the short-term. </w:t>
      </w:r>
    </w:p>
    <w:p w:rsidR="006B77DA" w:rsidRPr="006A1A6D" w:rsidRDefault="006B77DA" w:rsidP="006B77DA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lastRenderedPageBreak/>
        <w:t xml:space="preserve">As of </w:t>
      </w:r>
      <w:r>
        <w:rPr>
          <w:rFonts w:ascii="Arial" w:hAnsi="Arial" w:cs="Arial"/>
          <w:sz w:val="24"/>
        </w:rPr>
        <w:t>March 31, 2015</w:t>
      </w:r>
      <w:r w:rsidRPr="006A1A6D">
        <w:rPr>
          <w:rFonts w:ascii="Arial" w:hAnsi="Arial" w:cs="Arial"/>
          <w:sz w:val="24"/>
        </w:rPr>
        <w:t xml:space="preserve">, the </w:t>
      </w:r>
      <w:r>
        <w:rPr>
          <w:rFonts w:ascii="Arial" w:hAnsi="Arial" w:cs="Arial"/>
          <w:sz w:val="24"/>
        </w:rPr>
        <w:t>policy allocation to credit</w:t>
      </w:r>
      <w:r w:rsidRPr="006A1A6D">
        <w:rPr>
          <w:rFonts w:ascii="Arial" w:hAnsi="Arial" w:cs="Arial"/>
          <w:sz w:val="24"/>
        </w:rPr>
        <w:t xml:space="preserve"> is </w:t>
      </w:r>
      <w:r>
        <w:rPr>
          <w:rFonts w:ascii="Arial" w:hAnsi="Arial" w:cs="Arial"/>
          <w:sz w:val="24"/>
        </w:rPr>
        <w:t xml:space="preserve">5%, </w:t>
      </w:r>
      <w:r w:rsidRPr="006A1A6D">
        <w:rPr>
          <w:rFonts w:ascii="Arial" w:hAnsi="Arial" w:cs="Arial"/>
          <w:sz w:val="24"/>
        </w:rPr>
        <w:t>apportioned:</w:t>
      </w:r>
    </w:p>
    <w:p w:rsidR="00A720A7" w:rsidRPr="00E41397" w:rsidRDefault="00A720A7" w:rsidP="00E41397">
      <w:p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ab/>
      </w:r>
      <w:r w:rsidR="00D07D6E" w:rsidRPr="00E41397">
        <w:rPr>
          <w:rFonts w:ascii="Arial" w:hAnsi="Arial" w:cs="Arial"/>
          <w:sz w:val="24"/>
          <w:szCs w:val="24"/>
        </w:rPr>
        <w:t xml:space="preserve">Pacific Investment Management </w:t>
      </w:r>
      <w:r w:rsidRPr="00E41397">
        <w:rPr>
          <w:rFonts w:ascii="Arial" w:hAnsi="Arial" w:cs="Arial"/>
          <w:sz w:val="24"/>
          <w:szCs w:val="24"/>
        </w:rPr>
        <w:tab/>
      </w:r>
      <w:r w:rsidRPr="00E41397">
        <w:rPr>
          <w:rFonts w:ascii="Arial" w:hAnsi="Arial" w:cs="Arial"/>
          <w:sz w:val="24"/>
          <w:szCs w:val="24"/>
        </w:rPr>
        <w:tab/>
      </w:r>
      <w:r w:rsidR="006B77DA">
        <w:rPr>
          <w:rFonts w:ascii="Arial" w:hAnsi="Arial" w:cs="Arial"/>
          <w:sz w:val="24"/>
          <w:szCs w:val="24"/>
        </w:rPr>
        <w:t>3</w:t>
      </w:r>
      <w:r w:rsidRPr="00E41397">
        <w:rPr>
          <w:rFonts w:ascii="Arial" w:hAnsi="Arial" w:cs="Arial"/>
          <w:sz w:val="24"/>
          <w:szCs w:val="24"/>
        </w:rPr>
        <w:t>%</w:t>
      </w:r>
    </w:p>
    <w:p w:rsidR="00A720A7" w:rsidRPr="00E41397" w:rsidRDefault="00A720A7" w:rsidP="00E41397">
      <w:pPr>
        <w:spacing w:after="0"/>
        <w:rPr>
          <w:rFonts w:ascii="Arial" w:hAnsi="Arial" w:cs="Arial"/>
          <w:sz w:val="24"/>
          <w:szCs w:val="24"/>
        </w:rPr>
      </w:pPr>
      <w:r w:rsidRPr="00E41397">
        <w:rPr>
          <w:rFonts w:ascii="Arial" w:hAnsi="Arial" w:cs="Arial"/>
          <w:sz w:val="24"/>
          <w:szCs w:val="24"/>
        </w:rPr>
        <w:tab/>
      </w:r>
      <w:r w:rsidR="00D07D6E" w:rsidRPr="00E41397">
        <w:rPr>
          <w:rFonts w:ascii="Arial" w:hAnsi="Arial" w:cs="Arial"/>
          <w:sz w:val="24"/>
          <w:szCs w:val="24"/>
        </w:rPr>
        <w:t xml:space="preserve">Western Asset Management </w:t>
      </w:r>
      <w:r w:rsidRPr="00E41397">
        <w:rPr>
          <w:rFonts w:ascii="Arial" w:hAnsi="Arial" w:cs="Arial"/>
          <w:sz w:val="24"/>
          <w:szCs w:val="24"/>
        </w:rPr>
        <w:tab/>
      </w:r>
      <w:r w:rsidRPr="00E41397">
        <w:rPr>
          <w:rFonts w:ascii="Arial" w:hAnsi="Arial" w:cs="Arial"/>
          <w:sz w:val="24"/>
          <w:szCs w:val="24"/>
        </w:rPr>
        <w:tab/>
      </w:r>
      <w:r w:rsidR="006B77DA">
        <w:rPr>
          <w:rFonts w:ascii="Arial" w:hAnsi="Arial" w:cs="Arial"/>
          <w:sz w:val="24"/>
          <w:szCs w:val="24"/>
        </w:rPr>
        <w:t>3</w:t>
      </w:r>
      <w:r w:rsidR="008562F3" w:rsidRPr="00E41397">
        <w:rPr>
          <w:rFonts w:ascii="Arial" w:hAnsi="Arial" w:cs="Arial"/>
          <w:sz w:val="24"/>
          <w:szCs w:val="24"/>
        </w:rPr>
        <w:t>%</w:t>
      </w:r>
    </w:p>
    <w:p w:rsidR="006B77DA" w:rsidRDefault="006B77DA" w:rsidP="003C63FE">
      <w:pPr>
        <w:spacing w:after="0" w:line="240" w:lineRule="auto"/>
        <w:jc w:val="both"/>
        <w:rPr>
          <w:rFonts w:ascii="Arial" w:hAnsi="Arial" w:cs="Arial"/>
        </w:rPr>
      </w:pPr>
    </w:p>
    <w:p w:rsidR="006B77DA" w:rsidRDefault="006B77DA" w:rsidP="003C63FE">
      <w:pPr>
        <w:spacing w:after="0" w:line="240" w:lineRule="auto"/>
        <w:jc w:val="both"/>
        <w:rPr>
          <w:rFonts w:ascii="Arial" w:hAnsi="Arial" w:cs="Arial"/>
        </w:rPr>
      </w:pPr>
    </w:p>
    <w:p w:rsidR="006B77DA" w:rsidRDefault="006B77DA" w:rsidP="003C63FE">
      <w:pPr>
        <w:spacing w:after="0" w:line="240" w:lineRule="auto"/>
        <w:jc w:val="both"/>
        <w:rPr>
          <w:rFonts w:ascii="Arial" w:hAnsi="Arial" w:cs="Arial"/>
        </w:rPr>
      </w:pPr>
    </w:p>
    <w:p w:rsidR="006B77DA" w:rsidRDefault="006B77DA" w:rsidP="003C63FE">
      <w:pPr>
        <w:spacing w:after="0" w:line="240" w:lineRule="auto"/>
        <w:jc w:val="both"/>
        <w:rPr>
          <w:rFonts w:ascii="Arial" w:hAnsi="Arial" w:cs="Arial"/>
        </w:rPr>
      </w:pPr>
    </w:p>
    <w:p w:rsidR="006B77DA" w:rsidRDefault="006B77DA" w:rsidP="003C63FE">
      <w:pPr>
        <w:spacing w:after="0" w:line="240" w:lineRule="auto"/>
        <w:jc w:val="both"/>
        <w:rPr>
          <w:rFonts w:ascii="Arial" w:hAnsi="Arial" w:cs="Arial"/>
        </w:rPr>
      </w:pPr>
    </w:p>
    <w:p w:rsidR="006B77DA" w:rsidRPr="00CD0BD4" w:rsidRDefault="006B77DA" w:rsidP="006B77DA">
      <w:pPr>
        <w:spacing w:after="0"/>
        <w:rPr>
          <w:rFonts w:ascii="Arial" w:hAnsi="Arial" w:cs="Arial"/>
          <w:sz w:val="18"/>
          <w:szCs w:val="18"/>
        </w:rPr>
      </w:pPr>
      <w:r w:rsidRPr="00CD0BD4">
        <w:rPr>
          <w:rFonts w:ascii="Arial" w:hAnsi="Arial" w:cs="Arial"/>
          <w:sz w:val="18"/>
          <w:szCs w:val="18"/>
        </w:rPr>
        <w:t>N.B. Numbers may not add due to rounding. Actual allocations may vary from policy a</w:t>
      </w:r>
      <w:r>
        <w:rPr>
          <w:rFonts w:ascii="Arial" w:hAnsi="Arial" w:cs="Arial"/>
          <w:sz w:val="18"/>
          <w:szCs w:val="18"/>
        </w:rPr>
        <w:t>l</w:t>
      </w:r>
      <w:r w:rsidRPr="00CD0BD4">
        <w:rPr>
          <w:rFonts w:ascii="Arial" w:hAnsi="Arial" w:cs="Arial"/>
          <w:sz w:val="18"/>
          <w:szCs w:val="18"/>
        </w:rPr>
        <w:t>locations due to market movements</w:t>
      </w:r>
      <w:r>
        <w:rPr>
          <w:rFonts w:ascii="Arial" w:hAnsi="Arial" w:cs="Arial"/>
          <w:sz w:val="18"/>
          <w:szCs w:val="18"/>
        </w:rPr>
        <w:t xml:space="preserve">, efforts to minimizing trading costs of rebalancing, lags in rebalancing to less liquid asset classes, time required to vet managers, and efforts to diversify vintage year exposures. </w:t>
      </w:r>
    </w:p>
    <w:p w:rsidR="006B77DA" w:rsidRPr="003C63FE" w:rsidRDefault="006B77DA" w:rsidP="003C63FE">
      <w:pPr>
        <w:spacing w:after="0" w:line="240" w:lineRule="auto"/>
        <w:jc w:val="both"/>
        <w:rPr>
          <w:rFonts w:ascii="Arial" w:hAnsi="Arial" w:cs="Arial"/>
        </w:rPr>
      </w:pPr>
    </w:p>
    <w:sectPr w:rsidR="006B77DA" w:rsidRPr="003C63FE" w:rsidSect="009C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DB5"/>
    <w:multiLevelType w:val="hybridMultilevel"/>
    <w:tmpl w:val="F7D8D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7"/>
    <w:rsid w:val="00032F8B"/>
    <w:rsid w:val="000623F9"/>
    <w:rsid w:val="00074236"/>
    <w:rsid w:val="000E0C5E"/>
    <w:rsid w:val="00116CC5"/>
    <w:rsid w:val="002C2055"/>
    <w:rsid w:val="003341D8"/>
    <w:rsid w:val="003C63FE"/>
    <w:rsid w:val="004F3366"/>
    <w:rsid w:val="00561B08"/>
    <w:rsid w:val="005653DE"/>
    <w:rsid w:val="00580824"/>
    <w:rsid w:val="005C77AC"/>
    <w:rsid w:val="00600ACE"/>
    <w:rsid w:val="00646E42"/>
    <w:rsid w:val="006774FD"/>
    <w:rsid w:val="006A6949"/>
    <w:rsid w:val="006B77DA"/>
    <w:rsid w:val="006E5A6D"/>
    <w:rsid w:val="006F23EC"/>
    <w:rsid w:val="006F6B17"/>
    <w:rsid w:val="00700BC1"/>
    <w:rsid w:val="00706207"/>
    <w:rsid w:val="00746267"/>
    <w:rsid w:val="007F354A"/>
    <w:rsid w:val="00803721"/>
    <w:rsid w:val="00805A6C"/>
    <w:rsid w:val="00823291"/>
    <w:rsid w:val="008562F3"/>
    <w:rsid w:val="008747FE"/>
    <w:rsid w:val="008B1A71"/>
    <w:rsid w:val="008C1D69"/>
    <w:rsid w:val="00994990"/>
    <w:rsid w:val="009A7EC2"/>
    <w:rsid w:val="009C529E"/>
    <w:rsid w:val="009F32AB"/>
    <w:rsid w:val="00A03EF9"/>
    <w:rsid w:val="00A273D1"/>
    <w:rsid w:val="00A31462"/>
    <w:rsid w:val="00A71BD8"/>
    <w:rsid w:val="00A720A7"/>
    <w:rsid w:val="00A90336"/>
    <w:rsid w:val="00B2342A"/>
    <w:rsid w:val="00B777BB"/>
    <w:rsid w:val="00C406A3"/>
    <w:rsid w:val="00C64658"/>
    <w:rsid w:val="00C8366A"/>
    <w:rsid w:val="00D04A7E"/>
    <w:rsid w:val="00D07D6E"/>
    <w:rsid w:val="00D1298C"/>
    <w:rsid w:val="00D357D1"/>
    <w:rsid w:val="00D50470"/>
    <w:rsid w:val="00D76069"/>
    <w:rsid w:val="00E040C6"/>
    <w:rsid w:val="00E3453F"/>
    <w:rsid w:val="00E41397"/>
    <w:rsid w:val="00E92C09"/>
    <w:rsid w:val="00F453C5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Burns</dc:creator>
  <cp:lastModifiedBy>Mark Rhoads</cp:lastModifiedBy>
  <cp:revision>6</cp:revision>
  <cp:lastPrinted>2015-04-27T14:02:00Z</cp:lastPrinted>
  <dcterms:created xsi:type="dcterms:W3CDTF">2015-04-28T19:26:00Z</dcterms:created>
  <dcterms:modified xsi:type="dcterms:W3CDTF">2015-04-28T19:39:00Z</dcterms:modified>
</cp:coreProperties>
</file>