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9E" w:rsidRPr="006A1A6D" w:rsidRDefault="009C529E" w:rsidP="003C63FE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E2A0A" w:rsidRPr="00AE2A0A" w:rsidRDefault="00AE2A0A" w:rsidP="00AE2A0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E2A0A">
        <w:rPr>
          <w:rFonts w:ascii="Arial" w:hAnsi="Arial" w:cs="Arial"/>
          <w:b/>
          <w:sz w:val="24"/>
          <w:szCs w:val="24"/>
        </w:rPr>
        <w:t>Inflation-Linked Bond</w:t>
      </w:r>
      <w:r w:rsidR="003F12F8">
        <w:rPr>
          <w:rFonts w:ascii="Arial" w:hAnsi="Arial" w:cs="Arial"/>
          <w:b/>
          <w:sz w:val="24"/>
          <w:szCs w:val="24"/>
        </w:rPr>
        <w:t>s</w:t>
      </w:r>
      <w:r w:rsidRPr="00AE2A0A">
        <w:rPr>
          <w:rFonts w:ascii="Arial" w:hAnsi="Arial" w:cs="Arial"/>
          <w:b/>
          <w:sz w:val="24"/>
          <w:szCs w:val="24"/>
        </w:rPr>
        <w:tab/>
      </w:r>
      <w:r w:rsidRPr="00AE2A0A">
        <w:rPr>
          <w:rFonts w:ascii="Arial" w:hAnsi="Arial" w:cs="Arial"/>
          <w:b/>
          <w:sz w:val="24"/>
          <w:szCs w:val="24"/>
        </w:rPr>
        <w:tab/>
      </w:r>
      <w:r w:rsidRPr="00AE2A0A">
        <w:rPr>
          <w:rFonts w:ascii="Arial" w:hAnsi="Arial" w:cs="Arial"/>
          <w:b/>
          <w:sz w:val="24"/>
          <w:szCs w:val="24"/>
        </w:rPr>
        <w:tab/>
      </w:r>
      <w:r w:rsidRPr="00AE2A0A">
        <w:rPr>
          <w:rFonts w:ascii="Arial" w:hAnsi="Arial" w:cs="Arial"/>
          <w:b/>
          <w:sz w:val="24"/>
          <w:szCs w:val="24"/>
        </w:rPr>
        <w:tab/>
      </w:r>
      <w:r w:rsidRPr="00AE2A0A">
        <w:rPr>
          <w:rFonts w:ascii="Arial" w:hAnsi="Arial" w:cs="Arial"/>
          <w:b/>
          <w:sz w:val="24"/>
          <w:szCs w:val="24"/>
          <w:highlight w:val="yellow"/>
        </w:rPr>
        <w:t>DRAFT</w:t>
      </w:r>
      <w:r w:rsidRPr="00AE2A0A">
        <w:rPr>
          <w:rFonts w:ascii="Arial" w:hAnsi="Arial" w:cs="Arial"/>
          <w:b/>
          <w:sz w:val="24"/>
          <w:szCs w:val="24"/>
        </w:rPr>
        <w:t xml:space="preserve"> </w:t>
      </w:r>
    </w:p>
    <w:p w:rsidR="00AE2A0A" w:rsidRPr="00AE2A0A" w:rsidRDefault="003F12F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Part of the real return allocation, the allocation to inflation-linked bonds is intended to protect the portfolio during periods of unanticipated inflation. </w:t>
      </w:r>
      <w:r>
        <w:rPr>
          <w:rFonts w:ascii="Arial" w:hAnsi="Arial" w:cs="Arial"/>
          <w:sz w:val="24"/>
        </w:rPr>
        <w:t>D</w:t>
      </w:r>
      <w:r w:rsidR="00AE2A0A" w:rsidRPr="00AE2A0A">
        <w:rPr>
          <w:rFonts w:ascii="Arial" w:hAnsi="Arial" w:cs="Arial"/>
          <w:sz w:val="24"/>
        </w:rPr>
        <w:t>iversification</w:t>
      </w:r>
      <w:r w:rsidR="005D185F">
        <w:rPr>
          <w:rFonts w:ascii="Arial" w:hAnsi="Arial" w:cs="Arial"/>
          <w:sz w:val="24"/>
        </w:rPr>
        <w:t>, safety</w:t>
      </w:r>
      <w:r w:rsidR="00AE2A0A" w:rsidRPr="00AE2A0A">
        <w:rPr>
          <w:rFonts w:ascii="Arial" w:hAnsi="Arial" w:cs="Arial"/>
          <w:sz w:val="24"/>
        </w:rPr>
        <w:t xml:space="preserve"> and liquidity are primary considerations</w:t>
      </w:r>
      <w:r>
        <w:rPr>
          <w:rFonts w:ascii="Arial" w:hAnsi="Arial" w:cs="Arial"/>
          <w:sz w:val="24"/>
        </w:rPr>
        <w:t>, with an expectation of a minimal but positive return over a full market cycle</w:t>
      </w:r>
      <w:r w:rsidR="00AE2A0A" w:rsidRPr="00AE2A0A">
        <w:rPr>
          <w:rFonts w:ascii="Arial" w:hAnsi="Arial" w:cs="Arial"/>
          <w:sz w:val="24"/>
        </w:rPr>
        <w:t xml:space="preserve">. </w:t>
      </w:r>
    </w:p>
    <w:p w:rsidR="00AE2A0A" w:rsidRDefault="00AE2A0A" w:rsidP="002E6441">
      <w:pPr>
        <w:spacing w:after="0"/>
        <w:rPr>
          <w:rFonts w:ascii="Arial" w:hAnsi="Arial" w:cs="Arial"/>
          <w:sz w:val="24"/>
          <w:szCs w:val="24"/>
        </w:rPr>
      </w:pPr>
    </w:p>
    <w:p w:rsidR="003F12F8" w:rsidRDefault="003F12F8" w:rsidP="003F12F8">
      <w:pPr>
        <w:spacing w:after="0"/>
        <w:rPr>
          <w:rFonts w:ascii="Arial" w:hAnsi="Arial" w:cs="Arial"/>
          <w:sz w:val="24"/>
        </w:rPr>
      </w:pPr>
      <w:r w:rsidRPr="006A1A6D">
        <w:rPr>
          <w:rFonts w:ascii="Arial" w:hAnsi="Arial" w:cs="Arial"/>
          <w:sz w:val="24"/>
        </w:rPr>
        <w:t xml:space="preserve">Given the </w:t>
      </w:r>
      <w:r>
        <w:rPr>
          <w:rFonts w:ascii="Arial" w:hAnsi="Arial" w:cs="Arial"/>
          <w:sz w:val="24"/>
        </w:rPr>
        <w:t>structure of</w:t>
      </w:r>
      <w:r w:rsidRPr="006A1A6D">
        <w:rPr>
          <w:rFonts w:ascii="Arial" w:hAnsi="Arial" w:cs="Arial"/>
          <w:sz w:val="24"/>
        </w:rPr>
        <w:t xml:space="preserve"> the </w:t>
      </w:r>
      <w:r>
        <w:rPr>
          <w:rFonts w:ascii="Arial" w:hAnsi="Arial" w:cs="Arial"/>
          <w:sz w:val="24"/>
        </w:rPr>
        <w:t>inflation-linked</w:t>
      </w:r>
      <w:r w:rsidRPr="006A1A6D">
        <w:rPr>
          <w:rFonts w:ascii="Arial" w:hAnsi="Arial" w:cs="Arial"/>
          <w:sz w:val="24"/>
        </w:rPr>
        <w:t xml:space="preserve"> bond market, the </w:t>
      </w:r>
      <w:r>
        <w:rPr>
          <w:rFonts w:ascii="Arial" w:hAnsi="Arial" w:cs="Arial"/>
          <w:sz w:val="24"/>
        </w:rPr>
        <w:t>allocation is</w:t>
      </w:r>
      <w:r w:rsidRPr="006A1A6D">
        <w:rPr>
          <w:rFonts w:ascii="Arial" w:hAnsi="Arial" w:cs="Arial"/>
          <w:sz w:val="24"/>
        </w:rPr>
        <w:t xml:space="preserve"> actively managed</w:t>
      </w:r>
      <w:r>
        <w:rPr>
          <w:rFonts w:ascii="Arial" w:hAnsi="Arial" w:cs="Arial"/>
          <w:sz w:val="24"/>
        </w:rPr>
        <w:t>. Managers are given</w:t>
      </w:r>
      <w:r w:rsidRPr="006A1A6D">
        <w:rPr>
          <w:rFonts w:ascii="Arial" w:hAnsi="Arial" w:cs="Arial"/>
          <w:sz w:val="24"/>
        </w:rPr>
        <w:t xml:space="preserve"> tight guidelines</w:t>
      </w:r>
      <w:r>
        <w:rPr>
          <w:rFonts w:ascii="Arial" w:hAnsi="Arial" w:cs="Arial"/>
          <w:sz w:val="24"/>
        </w:rPr>
        <w:t xml:space="preserve"> to ensure the allocation hews closely to the expected goal of providing safety and protection from inflation</w:t>
      </w:r>
      <w:r w:rsidRPr="006A1A6D">
        <w:rPr>
          <w:rFonts w:ascii="Arial" w:hAnsi="Arial" w:cs="Arial"/>
          <w:sz w:val="24"/>
        </w:rPr>
        <w:t>.</w:t>
      </w:r>
    </w:p>
    <w:p w:rsidR="003F12F8" w:rsidRDefault="003F12F8" w:rsidP="003F12F8">
      <w:pPr>
        <w:spacing w:after="0"/>
        <w:rPr>
          <w:rFonts w:ascii="Arial" w:hAnsi="Arial" w:cs="Arial"/>
          <w:sz w:val="24"/>
        </w:rPr>
      </w:pPr>
    </w:p>
    <w:p w:rsidR="00AE2A0A" w:rsidRPr="00AE2A0A" w:rsidRDefault="003F12F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of March 31, 2015, the benchmark for the inflation-linked allocation is the Barclays US Inflation Linked Bonds 1 to 10 Year. </w:t>
      </w:r>
      <w:r w:rsidR="005D185F">
        <w:rPr>
          <w:rFonts w:ascii="Arial" w:hAnsi="Arial" w:cs="Arial"/>
          <w:sz w:val="24"/>
        </w:rPr>
        <w:t xml:space="preserve">An intermediate-term benchmark is used to moderate the portfolio’s duration risk. </w:t>
      </w:r>
      <w:r w:rsidR="00106BB4">
        <w:rPr>
          <w:rFonts w:ascii="Arial" w:hAnsi="Arial" w:cs="Arial"/>
          <w:sz w:val="24"/>
        </w:rPr>
        <w:t xml:space="preserve">Since the global inflation-linked market can experience meaningful, lasting swings </w:t>
      </w:r>
      <w:r w:rsidR="00106BB4" w:rsidRPr="002E6441">
        <w:rPr>
          <w:rFonts w:ascii="Arial" w:hAnsi="Arial" w:cs="Arial"/>
          <w:sz w:val="24"/>
        </w:rPr>
        <w:t xml:space="preserve">between the relative attractiveness of </w:t>
      </w:r>
      <w:r w:rsidR="00106BB4">
        <w:rPr>
          <w:rFonts w:ascii="Arial" w:hAnsi="Arial" w:cs="Arial"/>
          <w:sz w:val="24"/>
        </w:rPr>
        <w:t>U.S. issues vs. non-U.S. issues and</w:t>
      </w:r>
      <w:r w:rsidR="00106BB4" w:rsidRPr="002E6441">
        <w:rPr>
          <w:rFonts w:ascii="Arial" w:hAnsi="Arial" w:cs="Arial"/>
          <w:sz w:val="24"/>
        </w:rPr>
        <w:t xml:space="preserve"> intermediate duration vs. long duration, the SIC </w:t>
      </w:r>
      <w:r w:rsidR="00106BB4">
        <w:rPr>
          <w:rFonts w:ascii="Arial" w:hAnsi="Arial" w:cs="Arial"/>
          <w:sz w:val="24"/>
        </w:rPr>
        <w:t>can</w:t>
      </w:r>
      <w:r w:rsidR="00106BB4" w:rsidRPr="002E6441">
        <w:rPr>
          <w:rFonts w:ascii="Arial" w:hAnsi="Arial" w:cs="Arial"/>
          <w:sz w:val="24"/>
        </w:rPr>
        <w:t xml:space="preserve"> authorize shifts in the policy benchmark to take advantage of these long-term valuation misalignments. </w:t>
      </w:r>
    </w:p>
    <w:p w:rsidR="00AE2A0A" w:rsidRPr="00AE2A0A" w:rsidRDefault="00AE2A0A" w:rsidP="002E6441">
      <w:pPr>
        <w:spacing w:after="0"/>
        <w:rPr>
          <w:rFonts w:ascii="Arial" w:hAnsi="Arial" w:cs="Arial"/>
          <w:sz w:val="24"/>
        </w:rPr>
      </w:pPr>
    </w:p>
    <w:p w:rsidR="005D185F" w:rsidRPr="002F332C" w:rsidRDefault="005D185F" w:rsidP="005D185F">
      <w:pPr>
        <w:spacing w:after="0"/>
        <w:rPr>
          <w:rFonts w:ascii="Arial" w:hAnsi="Arial" w:cs="Arial"/>
          <w:i/>
          <w:sz w:val="24"/>
        </w:rPr>
      </w:pPr>
      <w:r w:rsidRPr="002F332C">
        <w:rPr>
          <w:rFonts w:ascii="Arial" w:hAnsi="Arial" w:cs="Arial"/>
          <w:i/>
          <w:sz w:val="24"/>
        </w:rPr>
        <w:t>SIC Investment Philosophy – Inflation-Linked Bonds:</w:t>
      </w:r>
    </w:p>
    <w:p w:rsidR="00AE2A0A" w:rsidRPr="002E6441" w:rsidRDefault="00AE2A0A" w:rsidP="002E6441">
      <w:pPr>
        <w:spacing w:after="0"/>
        <w:rPr>
          <w:rFonts w:ascii="Arial" w:hAnsi="Arial" w:cs="Arial"/>
          <w:sz w:val="24"/>
        </w:rPr>
      </w:pPr>
    </w:p>
    <w:p w:rsidR="00AE2A0A" w:rsidRPr="005D185F" w:rsidRDefault="005D185F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SIC</w:t>
      </w:r>
      <w:r w:rsidRPr="002E6441">
        <w:rPr>
          <w:rFonts w:ascii="Arial" w:hAnsi="Arial" w:cs="Arial"/>
          <w:sz w:val="24"/>
        </w:rPr>
        <w:t xml:space="preserve"> </w:t>
      </w:r>
      <w:r w:rsidR="00AE2A0A" w:rsidRPr="002E6441">
        <w:rPr>
          <w:rFonts w:ascii="Arial" w:hAnsi="Arial" w:cs="Arial"/>
          <w:sz w:val="24"/>
        </w:rPr>
        <w:t xml:space="preserve">is a long-term investor in </w:t>
      </w:r>
      <w:r>
        <w:rPr>
          <w:rFonts w:ascii="Arial" w:hAnsi="Arial" w:cs="Arial"/>
          <w:sz w:val="24"/>
        </w:rPr>
        <w:t>inflation-linked</w:t>
      </w:r>
      <w:r w:rsidR="00AE2A0A" w:rsidRPr="002E6441">
        <w:rPr>
          <w:rFonts w:ascii="Arial" w:hAnsi="Arial" w:cs="Arial"/>
          <w:sz w:val="24"/>
        </w:rPr>
        <w:t xml:space="preserve"> securities</w:t>
      </w:r>
      <w:r>
        <w:rPr>
          <w:rFonts w:ascii="Arial" w:hAnsi="Arial" w:cs="Arial"/>
          <w:sz w:val="24"/>
        </w:rPr>
        <w:t>,</w:t>
      </w:r>
      <w:r w:rsidR="00AE2A0A" w:rsidRPr="002E64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expecting a modest but positive real return over a full market cycle</w:t>
      </w:r>
      <w:r w:rsidRPr="006A1A6D">
        <w:rPr>
          <w:rFonts w:ascii="Arial" w:hAnsi="Arial" w:cs="Arial"/>
          <w:sz w:val="24"/>
        </w:rPr>
        <w:t xml:space="preserve">.    </w:t>
      </w:r>
    </w:p>
    <w:p w:rsidR="00AE2A0A" w:rsidRPr="002E6441" w:rsidRDefault="00AE2A0A" w:rsidP="002E6441">
      <w:pPr>
        <w:spacing w:after="0"/>
        <w:ind w:left="360"/>
        <w:rPr>
          <w:rFonts w:ascii="Arial" w:hAnsi="Arial" w:cs="Arial"/>
          <w:sz w:val="24"/>
        </w:rPr>
      </w:pPr>
    </w:p>
    <w:p w:rsidR="005D185F" w:rsidRPr="006A1A6D" w:rsidRDefault="005D185F" w:rsidP="005D185F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Inflation-linked bonds play</w:t>
      </w:r>
      <w:r w:rsidRPr="006A1A6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 following</w:t>
      </w:r>
      <w:r w:rsidRPr="006A1A6D">
        <w:rPr>
          <w:rFonts w:ascii="Arial" w:hAnsi="Arial" w:cs="Arial"/>
          <w:sz w:val="24"/>
        </w:rPr>
        <w:t xml:space="preserve"> roles </w:t>
      </w:r>
      <w:r>
        <w:rPr>
          <w:rFonts w:ascii="Arial" w:hAnsi="Arial" w:cs="Arial"/>
          <w:sz w:val="24"/>
        </w:rPr>
        <w:t>for</w:t>
      </w:r>
      <w:r w:rsidRPr="006A1A6D">
        <w:rPr>
          <w:rFonts w:ascii="Arial" w:hAnsi="Arial" w:cs="Arial"/>
          <w:sz w:val="24"/>
        </w:rPr>
        <w:t xml:space="preserve"> the total portfolio</w:t>
      </w:r>
      <w:r>
        <w:rPr>
          <w:rFonts w:ascii="Arial" w:hAnsi="Arial" w:cs="Arial"/>
          <w:sz w:val="24"/>
        </w:rPr>
        <w:t>:</w:t>
      </w:r>
    </w:p>
    <w:p w:rsidR="005D185F" w:rsidRDefault="005D185F" w:rsidP="005D185F">
      <w:pPr>
        <w:numPr>
          <w:ilvl w:val="1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Protection in periods of rising inflation</w:t>
      </w:r>
    </w:p>
    <w:p w:rsidR="005D185F" w:rsidRPr="006A1A6D" w:rsidRDefault="005D185F" w:rsidP="005D185F">
      <w:pPr>
        <w:numPr>
          <w:ilvl w:val="1"/>
          <w:numId w:val="1"/>
        </w:numPr>
        <w:spacing w:after="0"/>
        <w:rPr>
          <w:rFonts w:ascii="Arial" w:hAnsi="Arial" w:cs="Arial"/>
          <w:sz w:val="24"/>
        </w:rPr>
      </w:pPr>
      <w:r w:rsidRPr="006A1A6D">
        <w:rPr>
          <w:rFonts w:ascii="Arial" w:hAnsi="Arial" w:cs="Arial"/>
          <w:sz w:val="24"/>
        </w:rPr>
        <w:t xml:space="preserve">Diversification </w:t>
      </w:r>
      <w:r>
        <w:rPr>
          <w:rFonts w:ascii="Arial" w:hAnsi="Arial" w:cs="Arial"/>
          <w:sz w:val="24"/>
        </w:rPr>
        <w:t>of growth and duration risks</w:t>
      </w:r>
    </w:p>
    <w:p w:rsidR="005D185F" w:rsidRPr="00CD0BD4" w:rsidRDefault="005D185F" w:rsidP="005D185F">
      <w:pPr>
        <w:numPr>
          <w:ilvl w:val="1"/>
          <w:numId w:val="1"/>
        </w:numPr>
        <w:spacing w:after="0"/>
        <w:rPr>
          <w:rFonts w:ascii="Arial" w:hAnsi="Arial" w:cs="Arial"/>
          <w:sz w:val="24"/>
        </w:rPr>
      </w:pPr>
      <w:r w:rsidRPr="006A1A6D">
        <w:rPr>
          <w:rFonts w:ascii="Arial" w:hAnsi="Arial" w:cs="Arial"/>
          <w:sz w:val="24"/>
        </w:rPr>
        <w:t xml:space="preserve">Capital preservation </w:t>
      </w:r>
      <w:r>
        <w:rPr>
          <w:rFonts w:ascii="Arial" w:hAnsi="Arial" w:cs="Arial"/>
          <w:sz w:val="24"/>
        </w:rPr>
        <w:t>/ low expected volatility</w:t>
      </w:r>
    </w:p>
    <w:p w:rsidR="005D185F" w:rsidRPr="00CD0BD4" w:rsidRDefault="005D185F" w:rsidP="005D185F">
      <w:pPr>
        <w:numPr>
          <w:ilvl w:val="1"/>
          <w:numId w:val="1"/>
        </w:numPr>
        <w:spacing w:after="0"/>
        <w:rPr>
          <w:rFonts w:ascii="Arial" w:hAnsi="Arial" w:cs="Arial"/>
          <w:sz w:val="24"/>
        </w:rPr>
      </w:pPr>
      <w:r w:rsidRPr="006A1A6D">
        <w:rPr>
          <w:rFonts w:ascii="Arial" w:hAnsi="Arial" w:cs="Arial"/>
          <w:sz w:val="24"/>
        </w:rPr>
        <w:t xml:space="preserve">Liquidity  </w:t>
      </w:r>
    </w:p>
    <w:p w:rsidR="00AE2A0A" w:rsidRPr="002E6441" w:rsidRDefault="00AE2A0A" w:rsidP="002F332C">
      <w:pPr>
        <w:spacing w:after="0"/>
        <w:rPr>
          <w:rFonts w:ascii="Arial" w:hAnsi="Arial" w:cs="Arial"/>
          <w:sz w:val="24"/>
        </w:rPr>
      </w:pPr>
    </w:p>
    <w:p w:rsidR="00106BB4" w:rsidRPr="006A1A6D" w:rsidRDefault="00106BB4" w:rsidP="00106BB4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allocation is actively managed due to the structure of the inflation-linked bond market. M</w:t>
      </w:r>
      <w:r w:rsidRPr="006A1A6D">
        <w:rPr>
          <w:rFonts w:ascii="Arial" w:hAnsi="Arial" w:cs="Arial"/>
          <w:sz w:val="24"/>
        </w:rPr>
        <w:t xml:space="preserve">anagers may take modest </w:t>
      </w:r>
      <w:r>
        <w:rPr>
          <w:rFonts w:ascii="Arial" w:hAnsi="Arial" w:cs="Arial"/>
          <w:sz w:val="24"/>
        </w:rPr>
        <w:t>duration and sovereign risks</w:t>
      </w:r>
      <w:r w:rsidRPr="006A1A6D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The SIC expects managers to be adequately compensated for assuming these risks and the attendant volatility.</w:t>
      </w:r>
    </w:p>
    <w:p w:rsidR="00106BB4" w:rsidRPr="006A1A6D" w:rsidRDefault="00106BB4" w:rsidP="00106BB4">
      <w:pPr>
        <w:pStyle w:val="ListParagraph"/>
        <w:spacing w:line="276" w:lineRule="auto"/>
        <w:rPr>
          <w:rFonts w:ascii="Arial" w:eastAsiaTheme="minorHAnsi" w:hAnsi="Arial" w:cs="Arial"/>
          <w:sz w:val="24"/>
          <w:szCs w:val="22"/>
        </w:rPr>
      </w:pPr>
    </w:p>
    <w:p w:rsidR="00106BB4" w:rsidRPr="006A1A6D" w:rsidRDefault="00106BB4" w:rsidP="00106BB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6A1A6D">
        <w:rPr>
          <w:rFonts w:ascii="Arial" w:hAnsi="Arial" w:cs="Arial"/>
          <w:sz w:val="24"/>
        </w:rPr>
        <w:t xml:space="preserve">To increase the likelihood of </w:t>
      </w:r>
      <w:r>
        <w:rPr>
          <w:rFonts w:ascii="Arial" w:hAnsi="Arial" w:cs="Arial"/>
          <w:sz w:val="24"/>
        </w:rPr>
        <w:t xml:space="preserve">serving </w:t>
      </w:r>
      <w:r w:rsidRPr="006A1A6D">
        <w:rPr>
          <w:rFonts w:ascii="Arial" w:hAnsi="Arial" w:cs="Arial"/>
          <w:sz w:val="24"/>
        </w:rPr>
        <w:t xml:space="preserve">its </w:t>
      </w:r>
      <w:r>
        <w:rPr>
          <w:rFonts w:ascii="Arial" w:hAnsi="Arial" w:cs="Arial"/>
          <w:sz w:val="24"/>
        </w:rPr>
        <w:t>portfolio purpose</w:t>
      </w:r>
      <w:r w:rsidRPr="006A1A6D">
        <w:rPr>
          <w:rFonts w:ascii="Arial" w:hAnsi="Arial" w:cs="Arial"/>
          <w:sz w:val="24"/>
        </w:rPr>
        <w:t xml:space="preserve">, the active management of the </w:t>
      </w:r>
      <w:r>
        <w:rPr>
          <w:rFonts w:ascii="Arial" w:hAnsi="Arial" w:cs="Arial"/>
          <w:sz w:val="24"/>
        </w:rPr>
        <w:t>inflation-linked allocation</w:t>
      </w:r>
      <w:r w:rsidRPr="006A1A6D">
        <w:rPr>
          <w:rFonts w:ascii="Arial" w:hAnsi="Arial" w:cs="Arial"/>
          <w:sz w:val="24"/>
        </w:rPr>
        <w:t xml:space="preserve"> will be constrained</w:t>
      </w:r>
      <w:r>
        <w:rPr>
          <w:rFonts w:ascii="Arial" w:hAnsi="Arial" w:cs="Arial"/>
          <w:sz w:val="24"/>
        </w:rPr>
        <w:t xml:space="preserve"> by</w:t>
      </w:r>
      <w:r w:rsidRPr="006A1A6D">
        <w:rPr>
          <w:rFonts w:ascii="Arial" w:hAnsi="Arial" w:cs="Arial"/>
          <w:sz w:val="24"/>
        </w:rPr>
        <w:t xml:space="preserve"> low tracking error targets (</w:t>
      </w:r>
      <w:r>
        <w:rPr>
          <w:rFonts w:ascii="Arial" w:hAnsi="Arial" w:cs="Arial"/>
          <w:sz w:val="24"/>
        </w:rPr>
        <w:t>±2</w:t>
      </w:r>
      <w:r w:rsidRPr="00CD0BD4">
        <w:rPr>
          <w:rFonts w:ascii="Arial" w:hAnsi="Arial" w:cs="Arial"/>
          <w:sz w:val="24"/>
        </w:rPr>
        <w:t>00</w:t>
      </w:r>
      <w:r w:rsidRPr="006A1A6D">
        <w:rPr>
          <w:rFonts w:ascii="Arial" w:hAnsi="Arial" w:cs="Arial"/>
          <w:sz w:val="24"/>
        </w:rPr>
        <w:t xml:space="preserve"> basis points per year). In addition, duration </w:t>
      </w:r>
      <w:r>
        <w:rPr>
          <w:rFonts w:ascii="Arial" w:hAnsi="Arial" w:cs="Arial"/>
          <w:sz w:val="24"/>
        </w:rPr>
        <w:t>of the inflation-linked investments</w:t>
      </w:r>
      <w:r w:rsidRPr="006A1A6D">
        <w:rPr>
          <w:rFonts w:ascii="Arial" w:hAnsi="Arial" w:cs="Arial"/>
          <w:sz w:val="24"/>
        </w:rPr>
        <w:t xml:space="preserve"> will be limited to </w:t>
      </w:r>
      <w:r>
        <w:rPr>
          <w:rFonts w:ascii="Arial" w:hAnsi="Arial" w:cs="Arial"/>
          <w:sz w:val="24"/>
        </w:rPr>
        <w:t>±2</w:t>
      </w:r>
      <w:r w:rsidR="00CB3ABA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%</w:t>
      </w:r>
      <w:r w:rsidRPr="006A1A6D">
        <w:rPr>
          <w:rFonts w:ascii="Arial" w:hAnsi="Arial" w:cs="Arial"/>
          <w:sz w:val="24"/>
        </w:rPr>
        <w:t xml:space="preserve"> of the benchmark</w:t>
      </w:r>
      <w:r>
        <w:rPr>
          <w:rFonts w:ascii="Arial" w:hAnsi="Arial" w:cs="Arial"/>
          <w:sz w:val="24"/>
        </w:rPr>
        <w:t>’s</w:t>
      </w:r>
      <w:r w:rsidRPr="006A1A6D">
        <w:rPr>
          <w:rFonts w:ascii="Arial" w:hAnsi="Arial" w:cs="Arial"/>
          <w:sz w:val="24"/>
        </w:rPr>
        <w:t xml:space="preserve"> duration. </w:t>
      </w:r>
    </w:p>
    <w:p w:rsidR="00AE2A0A" w:rsidRPr="002E6441" w:rsidRDefault="00AE2A0A" w:rsidP="002F332C">
      <w:pPr>
        <w:spacing w:after="0"/>
        <w:rPr>
          <w:rFonts w:ascii="Arial" w:hAnsi="Arial" w:cs="Arial"/>
          <w:sz w:val="24"/>
        </w:rPr>
      </w:pPr>
      <w:r w:rsidRPr="002E6441">
        <w:rPr>
          <w:rFonts w:ascii="Arial" w:hAnsi="Arial" w:cs="Arial"/>
          <w:sz w:val="24"/>
        </w:rPr>
        <w:t xml:space="preserve"> </w:t>
      </w:r>
    </w:p>
    <w:p w:rsidR="00AE2A0A" w:rsidRDefault="00AE2A0A" w:rsidP="002E6441">
      <w:pPr>
        <w:spacing w:after="0"/>
        <w:rPr>
          <w:rFonts w:ascii="Arial" w:hAnsi="Arial" w:cs="Arial"/>
          <w:sz w:val="24"/>
        </w:rPr>
      </w:pPr>
    </w:p>
    <w:p w:rsidR="008747FE" w:rsidRDefault="008747FE" w:rsidP="002E6441">
      <w:pPr>
        <w:spacing w:after="0"/>
        <w:rPr>
          <w:rFonts w:ascii="Arial" w:hAnsi="Arial" w:cs="Arial"/>
          <w:sz w:val="24"/>
        </w:rPr>
      </w:pPr>
    </w:p>
    <w:p w:rsidR="003F12F8" w:rsidRPr="006A1A6D" w:rsidRDefault="003F12F8" w:rsidP="003F12F8">
      <w:pPr>
        <w:spacing w:after="0"/>
        <w:rPr>
          <w:rFonts w:ascii="Arial" w:hAnsi="Arial" w:cs="Arial"/>
          <w:sz w:val="24"/>
        </w:rPr>
      </w:pPr>
      <w:r w:rsidRPr="006A1A6D">
        <w:rPr>
          <w:rFonts w:ascii="Arial" w:hAnsi="Arial" w:cs="Arial"/>
          <w:sz w:val="24"/>
        </w:rPr>
        <w:t xml:space="preserve">As of </w:t>
      </w:r>
      <w:r>
        <w:rPr>
          <w:rFonts w:ascii="Arial" w:hAnsi="Arial" w:cs="Arial"/>
          <w:sz w:val="24"/>
        </w:rPr>
        <w:t>March 31, 2015</w:t>
      </w:r>
      <w:r w:rsidRPr="006A1A6D">
        <w:rPr>
          <w:rFonts w:ascii="Arial" w:hAnsi="Arial" w:cs="Arial"/>
          <w:sz w:val="24"/>
        </w:rPr>
        <w:t xml:space="preserve">, the </w:t>
      </w:r>
      <w:r>
        <w:rPr>
          <w:rFonts w:ascii="Arial" w:hAnsi="Arial" w:cs="Arial"/>
          <w:sz w:val="24"/>
        </w:rPr>
        <w:t>policy allocation to inflation-linked bonds</w:t>
      </w:r>
      <w:r w:rsidRPr="006A1A6D">
        <w:rPr>
          <w:rFonts w:ascii="Arial" w:hAnsi="Arial" w:cs="Arial"/>
          <w:sz w:val="24"/>
        </w:rPr>
        <w:t xml:space="preserve"> is </w:t>
      </w:r>
      <w:r>
        <w:rPr>
          <w:rFonts w:ascii="Arial" w:hAnsi="Arial" w:cs="Arial"/>
          <w:sz w:val="24"/>
        </w:rPr>
        <w:t xml:space="preserve">4%, </w:t>
      </w:r>
      <w:r w:rsidRPr="006A1A6D">
        <w:rPr>
          <w:rFonts w:ascii="Arial" w:hAnsi="Arial" w:cs="Arial"/>
          <w:sz w:val="24"/>
        </w:rPr>
        <w:t>apportioned:</w:t>
      </w:r>
    </w:p>
    <w:p w:rsidR="00AE2A0A" w:rsidRPr="002E6441" w:rsidRDefault="00AE2A0A" w:rsidP="002E6441">
      <w:pPr>
        <w:spacing w:after="0"/>
        <w:rPr>
          <w:rFonts w:ascii="Arial" w:hAnsi="Arial" w:cs="Arial"/>
          <w:sz w:val="24"/>
        </w:rPr>
      </w:pPr>
      <w:r w:rsidRPr="002E6441">
        <w:rPr>
          <w:rFonts w:ascii="Arial" w:hAnsi="Arial" w:cs="Arial"/>
          <w:sz w:val="24"/>
        </w:rPr>
        <w:tab/>
        <w:t xml:space="preserve">Brown Brothers Harriman  </w:t>
      </w:r>
      <w:r w:rsidRPr="002E6441">
        <w:rPr>
          <w:rFonts w:ascii="Arial" w:hAnsi="Arial" w:cs="Arial"/>
          <w:sz w:val="24"/>
        </w:rPr>
        <w:tab/>
      </w:r>
      <w:r w:rsidRPr="002E6441">
        <w:rPr>
          <w:rFonts w:ascii="Arial" w:hAnsi="Arial" w:cs="Arial"/>
          <w:sz w:val="24"/>
        </w:rPr>
        <w:tab/>
        <w:t>4%</w:t>
      </w:r>
    </w:p>
    <w:p w:rsidR="00AE2A0A" w:rsidRPr="002E6441" w:rsidRDefault="00AE2A0A" w:rsidP="002E6441">
      <w:pPr>
        <w:spacing w:after="0"/>
        <w:rPr>
          <w:rFonts w:ascii="Arial" w:hAnsi="Arial" w:cs="Arial"/>
          <w:sz w:val="24"/>
        </w:rPr>
      </w:pPr>
      <w:r w:rsidRPr="002E6441">
        <w:rPr>
          <w:rFonts w:ascii="Arial" w:hAnsi="Arial" w:cs="Arial"/>
          <w:sz w:val="24"/>
        </w:rPr>
        <w:tab/>
      </w:r>
    </w:p>
    <w:p w:rsidR="00AE2A0A" w:rsidRPr="006A1A6D" w:rsidRDefault="00AE2A0A" w:rsidP="002E6441">
      <w:pPr>
        <w:spacing w:after="0"/>
        <w:rPr>
          <w:rFonts w:ascii="Arial" w:hAnsi="Arial" w:cs="Arial"/>
          <w:sz w:val="24"/>
        </w:rPr>
      </w:pPr>
    </w:p>
    <w:p w:rsidR="003F12F8" w:rsidRPr="00CD0BD4" w:rsidRDefault="003F12F8" w:rsidP="003F12F8">
      <w:pPr>
        <w:spacing w:after="0"/>
        <w:rPr>
          <w:rFonts w:ascii="Arial" w:hAnsi="Arial" w:cs="Arial"/>
          <w:sz w:val="18"/>
          <w:szCs w:val="18"/>
        </w:rPr>
      </w:pPr>
      <w:r w:rsidRPr="00CD0BD4">
        <w:rPr>
          <w:rFonts w:ascii="Arial" w:hAnsi="Arial" w:cs="Arial"/>
          <w:sz w:val="18"/>
          <w:szCs w:val="18"/>
        </w:rPr>
        <w:t>N.B. Numbers may not add due to rounding. Actual allocations may vary from policy a</w:t>
      </w:r>
      <w:r>
        <w:rPr>
          <w:rFonts w:ascii="Arial" w:hAnsi="Arial" w:cs="Arial"/>
          <w:sz w:val="18"/>
          <w:szCs w:val="18"/>
        </w:rPr>
        <w:t>l</w:t>
      </w:r>
      <w:r w:rsidRPr="00CD0BD4">
        <w:rPr>
          <w:rFonts w:ascii="Arial" w:hAnsi="Arial" w:cs="Arial"/>
          <w:sz w:val="18"/>
          <w:szCs w:val="18"/>
        </w:rPr>
        <w:t>locations due to market movements</w:t>
      </w:r>
      <w:r>
        <w:rPr>
          <w:rFonts w:ascii="Arial" w:hAnsi="Arial" w:cs="Arial"/>
          <w:sz w:val="18"/>
          <w:szCs w:val="18"/>
        </w:rPr>
        <w:t xml:space="preserve">, efforts to minimizing trading costs of rebalancing, lags in rebalancing to less liquid asset classes, time required to vet managers, and efforts to diversify vintage year exposures. </w:t>
      </w:r>
    </w:p>
    <w:p w:rsidR="002E6441" w:rsidRPr="006A1A6D" w:rsidRDefault="002E6441">
      <w:pPr>
        <w:spacing w:after="0"/>
        <w:rPr>
          <w:rFonts w:ascii="Arial" w:hAnsi="Arial" w:cs="Arial"/>
          <w:sz w:val="24"/>
        </w:rPr>
      </w:pPr>
    </w:p>
    <w:sectPr w:rsidR="002E6441" w:rsidRPr="006A1A6D" w:rsidSect="009C5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B0DB5"/>
    <w:multiLevelType w:val="hybridMultilevel"/>
    <w:tmpl w:val="50B81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A7"/>
    <w:rsid w:val="00106BB4"/>
    <w:rsid w:val="00112152"/>
    <w:rsid w:val="00116CC5"/>
    <w:rsid w:val="00197F30"/>
    <w:rsid w:val="00204392"/>
    <w:rsid w:val="00205A38"/>
    <w:rsid w:val="002E6441"/>
    <w:rsid w:val="002F332C"/>
    <w:rsid w:val="00301ACC"/>
    <w:rsid w:val="003847D0"/>
    <w:rsid w:val="003C63FE"/>
    <w:rsid w:val="003F12F8"/>
    <w:rsid w:val="003F6410"/>
    <w:rsid w:val="004C34C6"/>
    <w:rsid w:val="004F3366"/>
    <w:rsid w:val="00561B08"/>
    <w:rsid w:val="005D185F"/>
    <w:rsid w:val="00646E42"/>
    <w:rsid w:val="006A1A6D"/>
    <w:rsid w:val="006F150F"/>
    <w:rsid w:val="007F354A"/>
    <w:rsid w:val="008050E7"/>
    <w:rsid w:val="00805A6C"/>
    <w:rsid w:val="00844BA8"/>
    <w:rsid w:val="008747FE"/>
    <w:rsid w:val="008D27A1"/>
    <w:rsid w:val="008F4481"/>
    <w:rsid w:val="009C529E"/>
    <w:rsid w:val="00A03EF9"/>
    <w:rsid w:val="00A273D1"/>
    <w:rsid w:val="00A371A6"/>
    <w:rsid w:val="00A71BD8"/>
    <w:rsid w:val="00A720A7"/>
    <w:rsid w:val="00A90336"/>
    <w:rsid w:val="00AA1CAF"/>
    <w:rsid w:val="00AA42F8"/>
    <w:rsid w:val="00AE00A1"/>
    <w:rsid w:val="00AE2A0A"/>
    <w:rsid w:val="00B777BB"/>
    <w:rsid w:val="00B92155"/>
    <w:rsid w:val="00C406A3"/>
    <w:rsid w:val="00CA71D3"/>
    <w:rsid w:val="00CB3ABA"/>
    <w:rsid w:val="00D1298C"/>
    <w:rsid w:val="00D60D69"/>
    <w:rsid w:val="00E040C6"/>
    <w:rsid w:val="00E3453F"/>
    <w:rsid w:val="00E803B1"/>
    <w:rsid w:val="00E92C09"/>
    <w:rsid w:val="00F0715C"/>
    <w:rsid w:val="00F453C5"/>
    <w:rsid w:val="00F55B05"/>
    <w:rsid w:val="00FB02ED"/>
    <w:rsid w:val="00FE6552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1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C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C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1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C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C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Burns</dc:creator>
  <cp:lastModifiedBy>Mark Rhoads</cp:lastModifiedBy>
  <cp:revision>3</cp:revision>
  <dcterms:created xsi:type="dcterms:W3CDTF">2015-04-28T19:26:00Z</dcterms:created>
  <dcterms:modified xsi:type="dcterms:W3CDTF">2015-04-28T19:40:00Z</dcterms:modified>
</cp:coreProperties>
</file>