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9E" w:rsidRPr="006A1A6D" w:rsidRDefault="009C529E" w:rsidP="003C63FE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A720A7" w:rsidRPr="00D60D69" w:rsidRDefault="005500CB" w:rsidP="00A720A7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Global </w:t>
      </w:r>
      <w:r w:rsidR="00390ED7">
        <w:rPr>
          <w:rFonts w:ascii="Arial" w:hAnsi="Arial" w:cs="Arial"/>
          <w:b/>
          <w:sz w:val="24"/>
        </w:rPr>
        <w:t xml:space="preserve">Public </w:t>
      </w:r>
      <w:r>
        <w:rPr>
          <w:rFonts w:ascii="Arial" w:hAnsi="Arial" w:cs="Arial"/>
          <w:b/>
          <w:sz w:val="24"/>
        </w:rPr>
        <w:t xml:space="preserve">Equity </w:t>
      </w:r>
      <w:r w:rsidR="008A0ECA">
        <w:rPr>
          <w:rFonts w:ascii="Arial" w:hAnsi="Arial" w:cs="Arial"/>
          <w:b/>
          <w:sz w:val="24"/>
        </w:rPr>
        <w:t>Allocation</w:t>
      </w:r>
      <w:r w:rsidR="00C406A3" w:rsidRPr="00D60D69">
        <w:rPr>
          <w:rFonts w:ascii="Arial" w:hAnsi="Arial" w:cs="Arial"/>
          <w:b/>
          <w:sz w:val="24"/>
        </w:rPr>
        <w:tab/>
      </w:r>
      <w:r w:rsidR="00C406A3" w:rsidRPr="00D60D69">
        <w:rPr>
          <w:rFonts w:ascii="Arial" w:hAnsi="Arial" w:cs="Arial"/>
          <w:b/>
          <w:sz w:val="24"/>
        </w:rPr>
        <w:tab/>
      </w:r>
      <w:r w:rsidR="00C406A3" w:rsidRPr="00D60D69">
        <w:rPr>
          <w:rFonts w:ascii="Arial" w:hAnsi="Arial" w:cs="Arial"/>
          <w:b/>
          <w:sz w:val="24"/>
        </w:rPr>
        <w:tab/>
      </w:r>
      <w:r w:rsidR="00C406A3" w:rsidRPr="00D60D69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32"/>
        </w:rPr>
        <w:t xml:space="preserve"> Draft</w:t>
      </w:r>
      <w:r w:rsidR="00F25B90">
        <w:rPr>
          <w:rFonts w:ascii="Arial" w:hAnsi="Arial" w:cs="Arial"/>
          <w:b/>
          <w:sz w:val="32"/>
        </w:rPr>
        <w:t xml:space="preserve"> </w:t>
      </w:r>
      <w:r w:rsidR="009509E7">
        <w:rPr>
          <w:rFonts w:ascii="Arial" w:hAnsi="Arial" w:cs="Arial"/>
          <w:b/>
          <w:sz w:val="32"/>
        </w:rPr>
        <w:t>10/</w:t>
      </w:r>
      <w:r w:rsidR="000716D5">
        <w:rPr>
          <w:rFonts w:ascii="Arial" w:hAnsi="Arial" w:cs="Arial"/>
          <w:b/>
          <w:sz w:val="32"/>
        </w:rPr>
        <w:t>2</w:t>
      </w:r>
      <w:r w:rsidR="000716D5">
        <w:rPr>
          <w:rFonts w:ascii="Arial" w:hAnsi="Arial" w:cs="Arial"/>
          <w:b/>
          <w:sz w:val="32"/>
        </w:rPr>
        <w:t>8</w:t>
      </w:r>
      <w:r w:rsidR="009509E7">
        <w:rPr>
          <w:rFonts w:ascii="Arial" w:hAnsi="Arial" w:cs="Arial"/>
          <w:b/>
          <w:sz w:val="32"/>
        </w:rPr>
        <w:t>/15</w:t>
      </w:r>
    </w:p>
    <w:p w:rsidR="008A43D6" w:rsidRDefault="00390ED7" w:rsidP="00B9215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Within the larger equity </w:t>
      </w:r>
      <w:r w:rsidR="00153584">
        <w:rPr>
          <w:rFonts w:ascii="Arial" w:hAnsi="Arial" w:cs="Arial"/>
          <w:sz w:val="24"/>
        </w:rPr>
        <w:t>allocation</w:t>
      </w:r>
      <w:r>
        <w:rPr>
          <w:rFonts w:ascii="Arial" w:hAnsi="Arial" w:cs="Arial"/>
          <w:sz w:val="24"/>
        </w:rPr>
        <w:t>, t</w:t>
      </w:r>
      <w:r w:rsidR="00153584">
        <w:rPr>
          <w:rFonts w:ascii="Arial" w:hAnsi="Arial" w:cs="Arial"/>
          <w:sz w:val="24"/>
        </w:rPr>
        <w:t xml:space="preserve">he </w:t>
      </w:r>
      <w:r>
        <w:rPr>
          <w:rFonts w:ascii="Arial" w:hAnsi="Arial" w:cs="Arial"/>
          <w:sz w:val="24"/>
        </w:rPr>
        <w:t xml:space="preserve">global public </w:t>
      </w:r>
      <w:r w:rsidR="005A00C1">
        <w:rPr>
          <w:rFonts w:ascii="Arial" w:hAnsi="Arial" w:cs="Arial"/>
          <w:sz w:val="24"/>
        </w:rPr>
        <w:t>equity</w:t>
      </w:r>
      <w:r w:rsidR="005500CB">
        <w:rPr>
          <w:rFonts w:ascii="Arial" w:hAnsi="Arial" w:cs="Arial"/>
          <w:sz w:val="24"/>
        </w:rPr>
        <w:t xml:space="preserve"> </w:t>
      </w:r>
      <w:r w:rsidR="00F56212">
        <w:rPr>
          <w:rFonts w:ascii="Arial" w:hAnsi="Arial" w:cs="Arial"/>
          <w:sz w:val="24"/>
        </w:rPr>
        <w:t>allocation</w:t>
      </w:r>
      <w:r w:rsidR="00F56212" w:rsidRPr="006A1A6D">
        <w:rPr>
          <w:rFonts w:ascii="Arial" w:hAnsi="Arial" w:cs="Arial"/>
          <w:sz w:val="24"/>
        </w:rPr>
        <w:t xml:space="preserve"> </w:t>
      </w:r>
      <w:r w:rsidR="00D94AFE">
        <w:rPr>
          <w:rFonts w:ascii="Arial" w:hAnsi="Arial" w:cs="Arial"/>
          <w:sz w:val="24"/>
        </w:rPr>
        <w:t xml:space="preserve">seeks </w:t>
      </w:r>
      <w:r>
        <w:rPr>
          <w:rFonts w:ascii="Arial" w:hAnsi="Arial" w:cs="Arial"/>
          <w:sz w:val="24"/>
        </w:rPr>
        <w:t xml:space="preserve">to access the </w:t>
      </w:r>
      <w:r w:rsidR="00EC6BAE">
        <w:rPr>
          <w:rFonts w:ascii="Arial" w:hAnsi="Arial" w:cs="Arial"/>
          <w:sz w:val="24"/>
        </w:rPr>
        <w:t xml:space="preserve">strong, long-term </w:t>
      </w:r>
      <w:r>
        <w:rPr>
          <w:rFonts w:ascii="Arial" w:hAnsi="Arial" w:cs="Arial"/>
          <w:sz w:val="24"/>
        </w:rPr>
        <w:t xml:space="preserve">returns of publicly traded equity markets. </w:t>
      </w:r>
      <w:r w:rsidR="00833403">
        <w:rPr>
          <w:rFonts w:ascii="Arial" w:hAnsi="Arial" w:cs="Arial"/>
          <w:sz w:val="24"/>
        </w:rPr>
        <w:t xml:space="preserve">Through </w:t>
      </w:r>
      <w:r w:rsidR="00042E48">
        <w:rPr>
          <w:rFonts w:ascii="Arial" w:hAnsi="Arial" w:cs="Arial"/>
          <w:sz w:val="24"/>
        </w:rPr>
        <w:t>ownership stakes</w:t>
      </w:r>
      <w:r w:rsidR="005A00C1">
        <w:rPr>
          <w:rFonts w:ascii="Arial" w:hAnsi="Arial" w:cs="Arial"/>
          <w:sz w:val="24"/>
        </w:rPr>
        <w:t xml:space="preserve"> in companies globally</w:t>
      </w:r>
      <w:r w:rsidR="00833403">
        <w:rPr>
          <w:rFonts w:ascii="Arial" w:hAnsi="Arial" w:cs="Arial"/>
          <w:sz w:val="24"/>
        </w:rPr>
        <w:t xml:space="preserve">, equities </w:t>
      </w:r>
      <w:r w:rsidR="008A43D6">
        <w:rPr>
          <w:rFonts w:ascii="Arial" w:hAnsi="Arial" w:cs="Arial"/>
          <w:sz w:val="24"/>
        </w:rPr>
        <w:t xml:space="preserve">benefit from economic growth and corporate value creation. Both capital </w:t>
      </w:r>
      <w:r w:rsidR="00EC6BAE">
        <w:rPr>
          <w:rFonts w:ascii="Arial" w:hAnsi="Arial" w:cs="Arial"/>
          <w:sz w:val="24"/>
        </w:rPr>
        <w:t>appreciation</w:t>
      </w:r>
      <w:r w:rsidR="008A43D6">
        <w:rPr>
          <w:rFonts w:ascii="Arial" w:hAnsi="Arial" w:cs="Arial"/>
          <w:sz w:val="24"/>
        </w:rPr>
        <w:t xml:space="preserve"> and dividend yield are sources for equity returns. </w:t>
      </w:r>
      <w:r w:rsidR="00EC6BAE">
        <w:rPr>
          <w:rFonts w:ascii="Arial" w:hAnsi="Arial" w:cs="Arial"/>
          <w:sz w:val="24"/>
        </w:rPr>
        <w:t>As the portfolio’s largest allocation, global public equity is generally the largest driver of portfolio performance.</w:t>
      </w:r>
    </w:p>
    <w:p w:rsidR="008A43D6" w:rsidRDefault="008A43D6" w:rsidP="00B92155">
      <w:pPr>
        <w:spacing w:after="0"/>
        <w:rPr>
          <w:rFonts w:ascii="Arial" w:hAnsi="Arial" w:cs="Arial"/>
          <w:sz w:val="24"/>
        </w:rPr>
      </w:pPr>
    </w:p>
    <w:p w:rsidR="00EC6BAE" w:rsidRDefault="009509E7" w:rsidP="00B9215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Global equity is also the largest driver of portfolio risk given the size of the allocation and the characteristics of the asset class</w:t>
      </w:r>
      <w:r w:rsidR="00806D09">
        <w:rPr>
          <w:rFonts w:ascii="Arial" w:hAnsi="Arial" w:cs="Arial"/>
          <w:sz w:val="24"/>
        </w:rPr>
        <w:t xml:space="preserve">. </w:t>
      </w:r>
      <w:r w:rsidR="00833403">
        <w:rPr>
          <w:rFonts w:ascii="Arial" w:hAnsi="Arial" w:cs="Arial"/>
          <w:sz w:val="24"/>
        </w:rPr>
        <w:t xml:space="preserve">Priced daily and </w:t>
      </w:r>
      <w:r w:rsidR="008A43D6">
        <w:rPr>
          <w:rFonts w:ascii="Arial" w:hAnsi="Arial" w:cs="Arial"/>
          <w:sz w:val="24"/>
        </w:rPr>
        <w:t xml:space="preserve">participating in </w:t>
      </w:r>
      <w:r w:rsidR="00806D09">
        <w:rPr>
          <w:rFonts w:ascii="Arial" w:hAnsi="Arial" w:cs="Arial"/>
          <w:sz w:val="24"/>
        </w:rPr>
        <w:t>net</w:t>
      </w:r>
      <w:r w:rsidR="00EC6BAE">
        <w:rPr>
          <w:rFonts w:ascii="Arial" w:hAnsi="Arial" w:cs="Arial"/>
          <w:sz w:val="24"/>
        </w:rPr>
        <w:t xml:space="preserve"> </w:t>
      </w:r>
      <w:r w:rsidR="008A43D6">
        <w:rPr>
          <w:rFonts w:ascii="Arial" w:hAnsi="Arial" w:cs="Arial"/>
          <w:sz w:val="24"/>
        </w:rPr>
        <w:t>profit</w:t>
      </w:r>
      <w:r w:rsidR="00EC6BAE">
        <w:rPr>
          <w:rFonts w:ascii="Arial" w:hAnsi="Arial" w:cs="Arial"/>
          <w:sz w:val="24"/>
        </w:rPr>
        <w:t>s</w:t>
      </w:r>
      <w:r w:rsidR="008A43D6">
        <w:rPr>
          <w:rFonts w:ascii="Arial" w:hAnsi="Arial" w:cs="Arial"/>
          <w:sz w:val="24"/>
        </w:rPr>
        <w:t xml:space="preserve"> </w:t>
      </w:r>
      <w:r w:rsidR="00EC6BAE">
        <w:rPr>
          <w:rFonts w:ascii="Arial" w:hAnsi="Arial" w:cs="Arial"/>
          <w:sz w:val="24"/>
        </w:rPr>
        <w:t xml:space="preserve">only </w:t>
      </w:r>
      <w:r w:rsidR="008A43D6">
        <w:rPr>
          <w:rFonts w:ascii="Arial" w:hAnsi="Arial" w:cs="Arial"/>
          <w:sz w:val="24"/>
        </w:rPr>
        <w:t>after all costs</w:t>
      </w:r>
      <w:r w:rsidR="00EC6BAE">
        <w:rPr>
          <w:rFonts w:ascii="Arial" w:hAnsi="Arial" w:cs="Arial"/>
          <w:sz w:val="24"/>
        </w:rPr>
        <w:t xml:space="preserve"> are paid, public </w:t>
      </w:r>
      <w:r w:rsidR="000B52F9">
        <w:rPr>
          <w:rFonts w:ascii="Arial" w:hAnsi="Arial" w:cs="Arial"/>
          <w:sz w:val="24"/>
        </w:rPr>
        <w:t xml:space="preserve">equities </w:t>
      </w:r>
      <w:r w:rsidR="00DA78D8">
        <w:rPr>
          <w:rFonts w:ascii="Arial" w:hAnsi="Arial" w:cs="Arial"/>
          <w:sz w:val="24"/>
        </w:rPr>
        <w:t xml:space="preserve">have the highest </w:t>
      </w:r>
      <w:r w:rsidR="00EC6BAE">
        <w:rPr>
          <w:rFonts w:ascii="Arial" w:hAnsi="Arial" w:cs="Arial"/>
          <w:sz w:val="24"/>
        </w:rPr>
        <w:t xml:space="preserve">observed </w:t>
      </w:r>
      <w:r w:rsidR="00DA78D8">
        <w:rPr>
          <w:rFonts w:ascii="Arial" w:hAnsi="Arial" w:cs="Arial"/>
          <w:sz w:val="24"/>
        </w:rPr>
        <w:t xml:space="preserve">volatility of the </w:t>
      </w:r>
      <w:r w:rsidR="00E54D5D">
        <w:rPr>
          <w:rFonts w:ascii="Arial" w:hAnsi="Arial" w:cs="Arial"/>
          <w:sz w:val="24"/>
        </w:rPr>
        <w:t xml:space="preserve">portfolio’s </w:t>
      </w:r>
      <w:r w:rsidR="00DA78D8">
        <w:rPr>
          <w:rFonts w:ascii="Arial" w:hAnsi="Arial" w:cs="Arial"/>
          <w:sz w:val="24"/>
        </w:rPr>
        <w:t>asset classes.</w:t>
      </w:r>
      <w:r w:rsidR="00833403" w:rsidRPr="00833403">
        <w:rPr>
          <w:rFonts w:ascii="Arial" w:hAnsi="Arial" w:cs="Arial"/>
          <w:sz w:val="24"/>
        </w:rPr>
        <w:t xml:space="preserve"> </w:t>
      </w:r>
      <w:r w:rsidR="00806D09">
        <w:rPr>
          <w:rFonts w:ascii="Arial" w:hAnsi="Arial" w:cs="Arial"/>
          <w:sz w:val="24"/>
        </w:rPr>
        <w:t xml:space="preserve">Shifts in sentiment about future earnings potential can have a dramatic impact on equity prices. </w:t>
      </w:r>
      <w:r w:rsidR="00EC6BAE">
        <w:rPr>
          <w:rFonts w:ascii="Arial" w:hAnsi="Arial" w:cs="Arial"/>
          <w:sz w:val="24"/>
        </w:rPr>
        <w:t xml:space="preserve">To mitigate some of this volatility, the allocation is diversified globally and across different return drivers (a.k.a. betas or factors). </w:t>
      </w:r>
    </w:p>
    <w:p w:rsidR="00EC6BAE" w:rsidRDefault="00EC6BAE" w:rsidP="00B92155">
      <w:pPr>
        <w:spacing w:after="0"/>
        <w:rPr>
          <w:rFonts w:ascii="Arial" w:hAnsi="Arial" w:cs="Arial"/>
          <w:sz w:val="24"/>
        </w:rPr>
      </w:pPr>
    </w:p>
    <w:p w:rsidR="00F56212" w:rsidRDefault="00EC6BAE" w:rsidP="00B9215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benchmark for the public equity allocation is the MSCI All Country World index (net dividends). </w:t>
      </w:r>
      <w:r w:rsidR="00806D09">
        <w:rPr>
          <w:rFonts w:ascii="Arial" w:hAnsi="Arial" w:cs="Arial"/>
          <w:sz w:val="24"/>
        </w:rPr>
        <w:t xml:space="preserve">This broad, commonly referenced index incorporates large-capitalization equities from both developed and emerging markets on a free-float capitalization-weighted basis. </w:t>
      </w:r>
    </w:p>
    <w:p w:rsidR="002A637D" w:rsidRPr="002A637D" w:rsidRDefault="002A637D" w:rsidP="002A637D">
      <w:pPr>
        <w:spacing w:after="0"/>
        <w:rPr>
          <w:rFonts w:ascii="Arial" w:hAnsi="Arial" w:cs="Arial"/>
          <w:sz w:val="24"/>
        </w:rPr>
      </w:pPr>
    </w:p>
    <w:p w:rsidR="002A637D" w:rsidRPr="002A637D" w:rsidRDefault="002A637D" w:rsidP="002A637D">
      <w:pPr>
        <w:spacing w:after="0"/>
        <w:rPr>
          <w:rFonts w:ascii="Arial" w:hAnsi="Arial" w:cs="Arial"/>
          <w:sz w:val="24"/>
        </w:rPr>
      </w:pPr>
      <w:r w:rsidRPr="00F75B7E">
        <w:rPr>
          <w:rFonts w:ascii="Arial" w:hAnsi="Arial" w:cs="Arial"/>
          <w:i/>
          <w:sz w:val="24"/>
        </w:rPr>
        <w:t xml:space="preserve">SIC Investment Philosophy - </w:t>
      </w:r>
      <w:r w:rsidR="002C567B">
        <w:rPr>
          <w:rFonts w:ascii="Arial" w:hAnsi="Arial" w:cs="Arial"/>
          <w:i/>
          <w:sz w:val="24"/>
        </w:rPr>
        <w:t xml:space="preserve"> </w:t>
      </w:r>
      <w:r w:rsidR="00390ED7">
        <w:rPr>
          <w:rFonts w:ascii="Arial" w:hAnsi="Arial" w:cs="Arial"/>
          <w:i/>
          <w:sz w:val="24"/>
        </w:rPr>
        <w:t xml:space="preserve">Global Public </w:t>
      </w:r>
      <w:r w:rsidR="002C567B">
        <w:rPr>
          <w:rFonts w:ascii="Arial" w:hAnsi="Arial" w:cs="Arial"/>
          <w:i/>
          <w:sz w:val="24"/>
        </w:rPr>
        <w:t>Equity</w:t>
      </w:r>
    </w:p>
    <w:p w:rsidR="002A637D" w:rsidRPr="002A637D" w:rsidRDefault="002A637D" w:rsidP="002A637D">
      <w:pPr>
        <w:spacing w:after="0"/>
        <w:rPr>
          <w:rFonts w:ascii="Arial" w:hAnsi="Arial" w:cs="Arial"/>
          <w:sz w:val="24"/>
        </w:rPr>
      </w:pPr>
    </w:p>
    <w:p w:rsidR="007F354A" w:rsidRPr="006A1A6D" w:rsidRDefault="00BA58F1" w:rsidP="00B92155">
      <w:pPr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SIC</w:t>
      </w:r>
      <w:r w:rsidRPr="006A1A6D">
        <w:rPr>
          <w:rFonts w:ascii="Arial" w:hAnsi="Arial" w:cs="Arial"/>
          <w:sz w:val="24"/>
        </w:rPr>
        <w:t xml:space="preserve"> </w:t>
      </w:r>
      <w:r w:rsidR="007F354A" w:rsidRPr="006A1A6D">
        <w:rPr>
          <w:rFonts w:ascii="Arial" w:hAnsi="Arial" w:cs="Arial"/>
          <w:sz w:val="24"/>
        </w:rPr>
        <w:t>is a long-term investor in</w:t>
      </w:r>
      <w:r w:rsidR="008038EA">
        <w:rPr>
          <w:rFonts w:ascii="Arial" w:hAnsi="Arial" w:cs="Arial"/>
          <w:sz w:val="24"/>
        </w:rPr>
        <w:t xml:space="preserve"> global</w:t>
      </w:r>
      <w:r w:rsidR="007F354A" w:rsidRPr="006A1A6D">
        <w:rPr>
          <w:rFonts w:ascii="Arial" w:hAnsi="Arial" w:cs="Arial"/>
          <w:sz w:val="24"/>
        </w:rPr>
        <w:t xml:space="preserve"> </w:t>
      </w:r>
      <w:r w:rsidR="001626B7">
        <w:rPr>
          <w:rFonts w:ascii="Arial" w:hAnsi="Arial" w:cs="Arial"/>
          <w:sz w:val="24"/>
        </w:rPr>
        <w:t xml:space="preserve">public </w:t>
      </w:r>
      <w:r w:rsidR="009F05FB">
        <w:rPr>
          <w:rFonts w:ascii="Arial" w:hAnsi="Arial" w:cs="Arial"/>
          <w:sz w:val="24"/>
        </w:rPr>
        <w:t>equity</w:t>
      </w:r>
      <w:r w:rsidR="001D38B8">
        <w:rPr>
          <w:rFonts w:ascii="Arial" w:hAnsi="Arial" w:cs="Arial"/>
          <w:sz w:val="24"/>
        </w:rPr>
        <w:t xml:space="preserve">, </w:t>
      </w:r>
      <w:r w:rsidR="001626B7">
        <w:rPr>
          <w:rFonts w:ascii="Arial" w:hAnsi="Arial" w:cs="Arial"/>
          <w:sz w:val="24"/>
        </w:rPr>
        <w:t xml:space="preserve">seeking </w:t>
      </w:r>
      <w:r w:rsidR="002C567B">
        <w:rPr>
          <w:rFonts w:ascii="Arial" w:hAnsi="Arial" w:cs="Arial"/>
          <w:sz w:val="24"/>
        </w:rPr>
        <w:t>strong</w:t>
      </w:r>
      <w:r w:rsidR="009F05FB">
        <w:rPr>
          <w:rFonts w:ascii="Arial" w:hAnsi="Arial" w:cs="Arial"/>
          <w:sz w:val="24"/>
        </w:rPr>
        <w:t xml:space="preserve"> </w:t>
      </w:r>
      <w:r w:rsidR="001D38B8">
        <w:rPr>
          <w:rFonts w:ascii="Arial" w:hAnsi="Arial" w:cs="Arial"/>
          <w:sz w:val="24"/>
        </w:rPr>
        <w:t>return</w:t>
      </w:r>
      <w:r w:rsidR="002C567B">
        <w:rPr>
          <w:rFonts w:ascii="Arial" w:hAnsi="Arial" w:cs="Arial"/>
          <w:sz w:val="24"/>
        </w:rPr>
        <w:t>s</w:t>
      </w:r>
      <w:r w:rsidR="001D38B8">
        <w:rPr>
          <w:rFonts w:ascii="Arial" w:hAnsi="Arial" w:cs="Arial"/>
          <w:sz w:val="24"/>
        </w:rPr>
        <w:t xml:space="preserve"> over a full market cycle</w:t>
      </w:r>
      <w:r w:rsidR="007F354A" w:rsidRPr="006A1A6D">
        <w:rPr>
          <w:rFonts w:ascii="Arial" w:hAnsi="Arial" w:cs="Arial"/>
          <w:sz w:val="24"/>
        </w:rPr>
        <w:t>.</w:t>
      </w:r>
      <w:r w:rsidR="00710E28">
        <w:rPr>
          <w:rFonts w:ascii="Arial" w:hAnsi="Arial" w:cs="Arial"/>
          <w:sz w:val="24"/>
        </w:rPr>
        <w:t xml:space="preserve">  </w:t>
      </w:r>
    </w:p>
    <w:p w:rsidR="00A90336" w:rsidRPr="006A1A6D" w:rsidRDefault="00A90336" w:rsidP="00B92155">
      <w:pPr>
        <w:spacing w:after="0"/>
        <w:ind w:left="360"/>
        <w:rPr>
          <w:rFonts w:ascii="Arial" w:hAnsi="Arial" w:cs="Arial"/>
          <w:sz w:val="24"/>
        </w:rPr>
      </w:pPr>
    </w:p>
    <w:p w:rsidR="007F354A" w:rsidRPr="006A1A6D" w:rsidRDefault="00A77166" w:rsidP="00B92155">
      <w:pPr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Public e</w:t>
      </w:r>
      <w:r w:rsidR="009F05FB">
        <w:rPr>
          <w:rFonts w:ascii="Arial" w:hAnsi="Arial" w:cs="Arial"/>
          <w:sz w:val="24"/>
        </w:rPr>
        <w:t xml:space="preserve">quity </w:t>
      </w:r>
      <w:r w:rsidR="007F354A" w:rsidRPr="006A1A6D">
        <w:rPr>
          <w:rFonts w:ascii="Arial" w:hAnsi="Arial" w:cs="Arial"/>
          <w:sz w:val="24"/>
        </w:rPr>
        <w:t xml:space="preserve">plays </w:t>
      </w:r>
      <w:r w:rsidR="00F56212">
        <w:rPr>
          <w:rFonts w:ascii="Arial" w:hAnsi="Arial" w:cs="Arial"/>
          <w:sz w:val="24"/>
        </w:rPr>
        <w:t>the following</w:t>
      </w:r>
      <w:r w:rsidR="00F56212" w:rsidRPr="006A1A6D">
        <w:rPr>
          <w:rFonts w:ascii="Arial" w:hAnsi="Arial" w:cs="Arial"/>
          <w:sz w:val="24"/>
        </w:rPr>
        <w:t xml:space="preserve"> </w:t>
      </w:r>
      <w:r w:rsidR="007F354A" w:rsidRPr="006A1A6D">
        <w:rPr>
          <w:rFonts w:ascii="Arial" w:hAnsi="Arial" w:cs="Arial"/>
          <w:sz w:val="24"/>
        </w:rPr>
        <w:t xml:space="preserve">roles </w:t>
      </w:r>
      <w:r w:rsidR="00F56212">
        <w:rPr>
          <w:rFonts w:ascii="Arial" w:hAnsi="Arial" w:cs="Arial"/>
          <w:sz w:val="24"/>
        </w:rPr>
        <w:t>for</w:t>
      </w:r>
      <w:r w:rsidR="007F354A" w:rsidRPr="006A1A6D">
        <w:rPr>
          <w:rFonts w:ascii="Arial" w:hAnsi="Arial" w:cs="Arial"/>
          <w:sz w:val="24"/>
        </w:rPr>
        <w:t xml:space="preserve"> the total portfolio</w:t>
      </w:r>
      <w:r w:rsidR="00F56212">
        <w:rPr>
          <w:rFonts w:ascii="Arial" w:hAnsi="Arial" w:cs="Arial"/>
          <w:sz w:val="24"/>
        </w:rPr>
        <w:t>:</w:t>
      </w:r>
    </w:p>
    <w:p w:rsidR="007F354A" w:rsidRPr="006A1A6D" w:rsidRDefault="002C567B" w:rsidP="00B92155">
      <w:pPr>
        <w:numPr>
          <w:ilvl w:val="1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Return generation</w:t>
      </w:r>
      <w:r w:rsidR="009F05FB">
        <w:rPr>
          <w:rFonts w:ascii="Arial" w:hAnsi="Arial" w:cs="Arial"/>
          <w:sz w:val="24"/>
        </w:rPr>
        <w:t xml:space="preserve"> </w:t>
      </w:r>
    </w:p>
    <w:p w:rsidR="007F354A" w:rsidRPr="00E54D5D" w:rsidRDefault="007F354A" w:rsidP="00F75B7E">
      <w:pPr>
        <w:numPr>
          <w:ilvl w:val="1"/>
          <w:numId w:val="1"/>
        </w:numPr>
        <w:spacing w:after="0"/>
        <w:rPr>
          <w:rFonts w:eastAsiaTheme="minorHAnsi"/>
        </w:rPr>
      </w:pPr>
      <w:r w:rsidRPr="006A1A6D">
        <w:rPr>
          <w:rFonts w:ascii="Arial" w:hAnsi="Arial" w:cs="Arial"/>
          <w:sz w:val="24"/>
        </w:rPr>
        <w:t>Liquidity</w:t>
      </w:r>
      <w:r w:rsidR="00710E28">
        <w:rPr>
          <w:rFonts w:ascii="Arial" w:hAnsi="Arial" w:cs="Arial"/>
          <w:sz w:val="24"/>
        </w:rPr>
        <w:t xml:space="preserve"> </w:t>
      </w:r>
      <w:r w:rsidR="001626B7">
        <w:rPr>
          <w:rFonts w:ascii="Arial" w:hAnsi="Arial" w:cs="Arial"/>
          <w:sz w:val="24"/>
        </w:rPr>
        <w:br/>
      </w:r>
    </w:p>
    <w:p w:rsidR="005F686A" w:rsidRPr="00F75B7E" w:rsidRDefault="002C567B" w:rsidP="00AE02E4">
      <w:pPr>
        <w:numPr>
          <w:ilvl w:val="0"/>
          <w:numId w:val="1"/>
        </w:numPr>
        <w:spacing w:after="0"/>
        <w:rPr>
          <w:rFonts w:ascii="Arial" w:eastAsiaTheme="minorHAnsi" w:hAnsi="Arial" w:cs="Arial"/>
          <w:sz w:val="24"/>
        </w:rPr>
      </w:pPr>
      <w:r>
        <w:rPr>
          <w:rFonts w:ascii="Arial" w:hAnsi="Arial" w:cs="Arial"/>
          <w:sz w:val="24"/>
        </w:rPr>
        <w:t xml:space="preserve">The SIC </w:t>
      </w:r>
      <w:r w:rsidR="001626B7">
        <w:rPr>
          <w:rFonts w:ascii="Arial" w:hAnsi="Arial" w:cs="Arial"/>
          <w:sz w:val="24"/>
        </w:rPr>
        <w:t xml:space="preserve">seeks to </w:t>
      </w:r>
      <w:r w:rsidR="005F686A">
        <w:rPr>
          <w:rFonts w:ascii="Arial" w:hAnsi="Arial" w:cs="Arial"/>
          <w:sz w:val="24"/>
        </w:rPr>
        <w:t xml:space="preserve">invest in global public equities in </w:t>
      </w:r>
      <w:r>
        <w:rPr>
          <w:rFonts w:ascii="Arial" w:hAnsi="Arial" w:cs="Arial"/>
          <w:sz w:val="24"/>
        </w:rPr>
        <w:t xml:space="preserve">the most effective manner possible, balancing </w:t>
      </w:r>
      <w:r w:rsidR="00390ED7">
        <w:rPr>
          <w:rFonts w:ascii="Arial" w:hAnsi="Arial" w:cs="Arial"/>
          <w:sz w:val="24"/>
        </w:rPr>
        <w:t xml:space="preserve">returns, risks and costs. </w:t>
      </w:r>
      <w:r w:rsidR="005F686A">
        <w:rPr>
          <w:rFonts w:ascii="Arial" w:hAnsi="Arial" w:cs="Arial"/>
          <w:sz w:val="24"/>
        </w:rPr>
        <w:t xml:space="preserve">Where equity </w:t>
      </w:r>
      <w:r w:rsidR="00806D09">
        <w:rPr>
          <w:rFonts w:ascii="Arial" w:hAnsi="Arial" w:cs="Arial"/>
          <w:sz w:val="24"/>
        </w:rPr>
        <w:t>exposure</w:t>
      </w:r>
      <w:r w:rsidR="005F686A">
        <w:rPr>
          <w:rFonts w:ascii="Arial" w:hAnsi="Arial" w:cs="Arial"/>
          <w:sz w:val="24"/>
        </w:rPr>
        <w:t>, a.k.a. equity betas, can be achieved more efficiently, passive strategies are used. Public equity strategies include:</w:t>
      </w:r>
    </w:p>
    <w:p w:rsidR="005F686A" w:rsidRPr="00F75B7E" w:rsidRDefault="005F686A" w:rsidP="00F75B7E">
      <w:pPr>
        <w:numPr>
          <w:ilvl w:val="1"/>
          <w:numId w:val="1"/>
        </w:numPr>
        <w:spacing w:after="0"/>
        <w:rPr>
          <w:rFonts w:ascii="Arial" w:eastAsiaTheme="minorHAnsi" w:hAnsi="Arial" w:cs="Arial"/>
          <w:sz w:val="24"/>
        </w:rPr>
      </w:pPr>
      <w:r w:rsidRPr="00C324EB">
        <w:rPr>
          <w:rFonts w:ascii="Arial" w:hAnsi="Arial" w:cs="Arial"/>
          <w:b/>
          <w:sz w:val="24"/>
        </w:rPr>
        <w:t>Capitalization-weighted index</w:t>
      </w:r>
      <w:r>
        <w:rPr>
          <w:rFonts w:ascii="Arial" w:hAnsi="Arial" w:cs="Arial"/>
          <w:b/>
          <w:sz w:val="24"/>
        </w:rPr>
        <w:t>es</w:t>
      </w:r>
      <w:r>
        <w:rPr>
          <w:rFonts w:ascii="Arial" w:hAnsi="Arial" w:cs="Arial"/>
          <w:sz w:val="24"/>
        </w:rPr>
        <w:t xml:space="preserve"> -- Capture returns of equity markets globally, as measured by the MSCI All Country World index (net dividends). This allocation is composed of four sleeves that replicate the following market indices: Russell 3000 Index; MSCI EAFE Index, MSCI Canada Index and MSCI Emerging Markets Index. In the US, small-capitalization stocks are included (Russell 3000) for the additional return </w:t>
      </w:r>
      <w:r>
        <w:rPr>
          <w:rFonts w:ascii="Arial" w:hAnsi="Arial" w:cs="Arial"/>
          <w:sz w:val="24"/>
        </w:rPr>
        <w:lastRenderedPageBreak/>
        <w:t>typically a</w:t>
      </w:r>
      <w:r w:rsidR="00806D09">
        <w:rPr>
          <w:rFonts w:ascii="Arial" w:hAnsi="Arial" w:cs="Arial"/>
          <w:sz w:val="24"/>
        </w:rPr>
        <w:t>chiev</w:t>
      </w:r>
      <w:r>
        <w:rPr>
          <w:rFonts w:ascii="Arial" w:hAnsi="Arial" w:cs="Arial"/>
          <w:sz w:val="24"/>
        </w:rPr>
        <w:t xml:space="preserve">ed with small caps. Outside the US, only larger-capitalization stocks are held for liquidity reasons. </w:t>
      </w:r>
    </w:p>
    <w:p w:rsidR="007F354A" w:rsidRPr="009F05FB" w:rsidRDefault="005F686A" w:rsidP="00F75B7E">
      <w:pPr>
        <w:numPr>
          <w:ilvl w:val="1"/>
          <w:numId w:val="1"/>
        </w:numPr>
        <w:spacing w:after="0"/>
        <w:rPr>
          <w:rFonts w:ascii="Arial" w:eastAsiaTheme="minorHAnsi" w:hAnsi="Arial" w:cs="Arial"/>
          <w:sz w:val="24"/>
        </w:rPr>
      </w:pPr>
      <w:r w:rsidRPr="00C324EB">
        <w:rPr>
          <w:rFonts w:ascii="Arial" w:hAnsi="Arial" w:cs="Arial"/>
          <w:b/>
          <w:sz w:val="24"/>
        </w:rPr>
        <w:t>Factor-tilted index</w:t>
      </w:r>
      <w:r>
        <w:rPr>
          <w:rFonts w:ascii="Arial" w:hAnsi="Arial" w:cs="Arial"/>
          <w:sz w:val="24"/>
        </w:rPr>
        <w:t xml:space="preserve"> – Captures additional return premia that exist due to investor biases or preferences. The allocation has more exposure to quality, value and momentum factors than capitalization-weighted indexes, and is expected to provide some risk/return enhancement and diversification to the larger capitalization-weighted exposure. Managed to a 2.0% to 2.5%</w:t>
      </w:r>
      <w:r w:rsidR="00153584">
        <w:rPr>
          <w:rFonts w:ascii="Arial" w:hAnsi="Arial" w:cs="Arial"/>
          <w:sz w:val="24"/>
        </w:rPr>
        <w:t xml:space="preserve"> tracking-</w:t>
      </w:r>
      <w:r>
        <w:rPr>
          <w:rFonts w:ascii="Arial" w:hAnsi="Arial" w:cs="Arial"/>
          <w:sz w:val="24"/>
        </w:rPr>
        <w:t xml:space="preserve">error constraint to the </w:t>
      </w:r>
      <w:r w:rsidR="00153584">
        <w:rPr>
          <w:rFonts w:ascii="Arial" w:hAnsi="Arial" w:cs="Arial"/>
          <w:sz w:val="24"/>
        </w:rPr>
        <w:t xml:space="preserve">developed-market </w:t>
      </w:r>
      <w:r>
        <w:rPr>
          <w:rFonts w:ascii="Arial" w:hAnsi="Arial" w:cs="Arial"/>
          <w:sz w:val="24"/>
        </w:rPr>
        <w:t>MSCI World Index (net dividends), it</w:t>
      </w:r>
      <w:r w:rsidR="00153584">
        <w:rPr>
          <w:rFonts w:ascii="Arial" w:hAnsi="Arial" w:cs="Arial"/>
          <w:sz w:val="24"/>
        </w:rPr>
        <w:t>s performance</w:t>
      </w:r>
      <w:r>
        <w:rPr>
          <w:rFonts w:ascii="Arial" w:hAnsi="Arial" w:cs="Arial"/>
          <w:sz w:val="24"/>
        </w:rPr>
        <w:t xml:space="preserve"> </w:t>
      </w:r>
      <w:r w:rsidR="00F75B7E">
        <w:rPr>
          <w:rFonts w:ascii="Arial" w:hAnsi="Arial" w:cs="Arial"/>
          <w:sz w:val="24"/>
        </w:rPr>
        <w:t xml:space="preserve">is expected to </w:t>
      </w:r>
      <w:r>
        <w:rPr>
          <w:rFonts w:ascii="Arial" w:hAnsi="Arial" w:cs="Arial"/>
          <w:sz w:val="24"/>
        </w:rPr>
        <w:t>diverge only moderately from that index. For liquidity reasons, the allocation only includes large-capitalization, developed</w:t>
      </w:r>
      <w:r w:rsidR="00584B2E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market equities. </w:t>
      </w:r>
    </w:p>
    <w:p w:rsidR="009F05FB" w:rsidRPr="009F05FB" w:rsidRDefault="009F05FB" w:rsidP="009F05FB">
      <w:pPr>
        <w:spacing w:after="0"/>
        <w:rPr>
          <w:rFonts w:ascii="Arial" w:eastAsiaTheme="minorHAnsi" w:hAnsi="Arial" w:cs="Arial"/>
          <w:sz w:val="24"/>
        </w:rPr>
      </w:pPr>
    </w:p>
    <w:p w:rsidR="005F686A" w:rsidRPr="00F75B7E" w:rsidRDefault="005F686A" w:rsidP="005F686A">
      <w:pPr>
        <w:numPr>
          <w:ilvl w:val="0"/>
          <w:numId w:val="1"/>
        </w:numPr>
        <w:spacing w:after="0"/>
        <w:rPr>
          <w:rFonts w:ascii="Arial" w:eastAsiaTheme="minorHAnsi" w:hAnsi="Arial" w:cs="Arial"/>
          <w:sz w:val="24"/>
        </w:rPr>
      </w:pPr>
      <w:r>
        <w:rPr>
          <w:rFonts w:ascii="Arial" w:hAnsi="Arial" w:cs="Arial"/>
          <w:sz w:val="24"/>
        </w:rPr>
        <w:t>By investing globally and avoiding home-country bias, the public equity allocation achieve</w:t>
      </w:r>
      <w:r w:rsidR="004B13BC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the strongest, long-term risk-adjusted returns. Geographic diversification is expected to benefit the portfolio over time. Currency exposure, which does not have an inherent return, is unhedged.</w:t>
      </w:r>
      <w:r>
        <w:rPr>
          <w:rFonts w:ascii="Arial" w:hAnsi="Arial" w:cs="Arial"/>
          <w:sz w:val="24"/>
        </w:rPr>
        <w:br/>
      </w:r>
    </w:p>
    <w:p w:rsidR="005F686A" w:rsidRPr="00F75B7E" w:rsidRDefault="004B13BC" w:rsidP="005F686A">
      <w:pPr>
        <w:numPr>
          <w:ilvl w:val="0"/>
          <w:numId w:val="1"/>
        </w:numPr>
        <w:spacing w:after="0"/>
        <w:rPr>
          <w:rFonts w:ascii="Arial" w:eastAsiaTheme="minorHAnsi" w:hAnsi="Arial" w:cs="Arial"/>
          <w:sz w:val="24"/>
        </w:rPr>
      </w:pPr>
      <w:r>
        <w:rPr>
          <w:rFonts w:ascii="Arial" w:hAnsi="Arial" w:cs="Arial"/>
          <w:sz w:val="24"/>
        </w:rPr>
        <w:t>Rebalancing helps performance through buying low (</w:t>
      </w:r>
      <w:r w:rsidR="00153584">
        <w:rPr>
          <w:rFonts w:ascii="Arial" w:hAnsi="Arial" w:cs="Arial"/>
          <w:sz w:val="24"/>
        </w:rPr>
        <w:t xml:space="preserve">adding to </w:t>
      </w:r>
      <w:r>
        <w:rPr>
          <w:rFonts w:ascii="Arial" w:hAnsi="Arial" w:cs="Arial"/>
          <w:sz w:val="24"/>
        </w:rPr>
        <w:t>under</w:t>
      </w:r>
      <w:r w:rsidR="00A53742">
        <w:rPr>
          <w:rFonts w:ascii="Arial" w:hAnsi="Arial" w:cs="Arial"/>
          <w:sz w:val="24"/>
        </w:rPr>
        <w:softHyphen/>
      </w:r>
      <w:r w:rsidR="00153584">
        <w:rPr>
          <w:rFonts w:ascii="Arial" w:hAnsi="Arial" w:cs="Arial"/>
          <w:sz w:val="24"/>
        </w:rPr>
        <w:t>performers</w:t>
      </w:r>
      <w:r>
        <w:rPr>
          <w:rFonts w:ascii="Arial" w:hAnsi="Arial" w:cs="Arial"/>
          <w:sz w:val="24"/>
        </w:rPr>
        <w:t>) and selling high (t</w:t>
      </w:r>
      <w:r w:rsidR="00153584">
        <w:rPr>
          <w:rFonts w:ascii="Arial" w:hAnsi="Arial" w:cs="Arial"/>
          <w:sz w:val="24"/>
        </w:rPr>
        <w:t>rimming outperformers</w:t>
      </w:r>
      <w:r>
        <w:rPr>
          <w:rFonts w:ascii="Arial" w:hAnsi="Arial" w:cs="Arial"/>
          <w:sz w:val="24"/>
        </w:rPr>
        <w:t xml:space="preserve">). Allocations among the geographic indexes and strategies within highly liquid public equity are rebalanced regularly within the </w:t>
      </w:r>
      <w:r w:rsidR="00153584">
        <w:rPr>
          <w:rFonts w:ascii="Arial" w:hAnsi="Arial" w:cs="Arial"/>
          <w:sz w:val="24"/>
        </w:rPr>
        <w:t>SIC-mandated constraint</w:t>
      </w:r>
      <w:r>
        <w:rPr>
          <w:rFonts w:ascii="Arial" w:hAnsi="Arial" w:cs="Arial"/>
          <w:sz w:val="24"/>
        </w:rPr>
        <w:t xml:space="preserve"> of +/-2% of target weight</w:t>
      </w:r>
      <w:r w:rsidR="00153584">
        <w:rPr>
          <w:rFonts w:ascii="Arial" w:hAnsi="Arial" w:cs="Arial"/>
          <w:sz w:val="24"/>
        </w:rPr>
        <w:t xml:space="preserve"> for each investment</w:t>
      </w:r>
      <w:r>
        <w:rPr>
          <w:rFonts w:ascii="Arial" w:hAnsi="Arial" w:cs="Arial"/>
          <w:sz w:val="24"/>
        </w:rPr>
        <w:t>. Futures can also be used in the short term to achieve target weights.</w:t>
      </w:r>
      <w:r>
        <w:rPr>
          <w:rFonts w:ascii="Arial" w:hAnsi="Arial" w:cs="Arial"/>
          <w:sz w:val="24"/>
        </w:rPr>
        <w:br/>
      </w:r>
    </w:p>
    <w:p w:rsidR="004B13BC" w:rsidRPr="00C324EB" w:rsidRDefault="004B13BC" w:rsidP="005F686A">
      <w:pPr>
        <w:numPr>
          <w:ilvl w:val="0"/>
          <w:numId w:val="1"/>
        </w:numPr>
        <w:spacing w:after="0"/>
        <w:rPr>
          <w:rFonts w:ascii="Arial" w:eastAsiaTheme="minorHAnsi" w:hAnsi="Arial" w:cs="Arial"/>
          <w:sz w:val="24"/>
        </w:rPr>
      </w:pPr>
      <w:r>
        <w:rPr>
          <w:rFonts w:ascii="Arial" w:eastAsiaTheme="minorHAnsi" w:hAnsi="Arial" w:cs="Arial"/>
          <w:sz w:val="24"/>
        </w:rPr>
        <w:t xml:space="preserve">When adopting new strategies, the SIC can leg in, allocating to the new strategy over a period of time to achieve time diversification. </w:t>
      </w:r>
      <w:r w:rsidR="00A53742">
        <w:rPr>
          <w:rFonts w:ascii="Arial" w:eastAsiaTheme="minorHAnsi" w:hAnsi="Arial" w:cs="Arial"/>
          <w:sz w:val="24"/>
        </w:rPr>
        <w:t xml:space="preserve">The </w:t>
      </w:r>
      <w:r w:rsidR="00E570D2">
        <w:rPr>
          <w:rFonts w:ascii="Arial" w:eastAsiaTheme="minorHAnsi" w:hAnsi="Arial" w:cs="Arial"/>
          <w:sz w:val="24"/>
        </w:rPr>
        <w:t xml:space="preserve">SIC </w:t>
      </w:r>
      <w:r w:rsidR="00A53742">
        <w:rPr>
          <w:rFonts w:ascii="Arial" w:eastAsiaTheme="minorHAnsi" w:hAnsi="Arial" w:cs="Arial"/>
          <w:sz w:val="24"/>
        </w:rPr>
        <w:t>deci</w:t>
      </w:r>
      <w:r w:rsidR="00E570D2">
        <w:rPr>
          <w:rFonts w:ascii="Arial" w:eastAsiaTheme="minorHAnsi" w:hAnsi="Arial" w:cs="Arial"/>
          <w:sz w:val="24"/>
        </w:rPr>
        <w:t>des</w:t>
      </w:r>
      <w:r w:rsidR="00A53742">
        <w:rPr>
          <w:rFonts w:ascii="Arial" w:eastAsiaTheme="minorHAnsi" w:hAnsi="Arial" w:cs="Arial"/>
          <w:sz w:val="24"/>
        </w:rPr>
        <w:t xml:space="preserve"> on whether to make a change gradually or immediately depend</w:t>
      </w:r>
      <w:r w:rsidR="00E570D2">
        <w:rPr>
          <w:rFonts w:ascii="Arial" w:eastAsiaTheme="minorHAnsi" w:hAnsi="Arial" w:cs="Arial"/>
          <w:sz w:val="24"/>
        </w:rPr>
        <w:t>ing</w:t>
      </w:r>
      <w:r w:rsidR="00A53742">
        <w:rPr>
          <w:rFonts w:ascii="Arial" w:eastAsiaTheme="minorHAnsi" w:hAnsi="Arial" w:cs="Arial"/>
          <w:sz w:val="24"/>
        </w:rPr>
        <w:t xml:space="preserve"> on the opportunity</w:t>
      </w:r>
      <w:r w:rsidR="00E570D2">
        <w:rPr>
          <w:rFonts w:ascii="Arial" w:eastAsiaTheme="minorHAnsi" w:hAnsi="Arial" w:cs="Arial"/>
          <w:sz w:val="24"/>
        </w:rPr>
        <w:t xml:space="preserve"> and market conditions</w:t>
      </w:r>
      <w:r w:rsidR="00A53742">
        <w:rPr>
          <w:rFonts w:ascii="Arial" w:eastAsiaTheme="minorHAnsi" w:hAnsi="Arial" w:cs="Arial"/>
          <w:sz w:val="24"/>
        </w:rPr>
        <w:t xml:space="preserve">. During </w:t>
      </w:r>
      <w:r w:rsidR="00E570D2">
        <w:rPr>
          <w:rFonts w:ascii="Arial" w:eastAsiaTheme="minorHAnsi" w:hAnsi="Arial" w:cs="Arial"/>
          <w:sz w:val="24"/>
        </w:rPr>
        <w:t>transitions</w:t>
      </w:r>
      <w:r w:rsidR="00A53742">
        <w:rPr>
          <w:rFonts w:ascii="Arial" w:eastAsiaTheme="minorHAnsi" w:hAnsi="Arial" w:cs="Arial"/>
          <w:sz w:val="24"/>
        </w:rPr>
        <w:t xml:space="preserve">, </w:t>
      </w:r>
      <w:r w:rsidR="00E570D2">
        <w:rPr>
          <w:rFonts w:ascii="Arial" w:eastAsiaTheme="minorHAnsi" w:hAnsi="Arial" w:cs="Arial"/>
          <w:sz w:val="24"/>
        </w:rPr>
        <w:t>portfolio weights</w:t>
      </w:r>
      <w:r w:rsidR="00A53742">
        <w:rPr>
          <w:rFonts w:ascii="Arial" w:eastAsiaTheme="minorHAnsi" w:hAnsi="Arial" w:cs="Arial"/>
          <w:sz w:val="24"/>
        </w:rPr>
        <w:t xml:space="preserve"> can diverge substantially from the policy allocation</w:t>
      </w:r>
      <w:r w:rsidR="00E570D2">
        <w:rPr>
          <w:rFonts w:ascii="Arial" w:eastAsiaTheme="minorHAnsi" w:hAnsi="Arial" w:cs="Arial"/>
          <w:sz w:val="24"/>
        </w:rPr>
        <w:t>. In these periods, allocations are often held in public equity, due to the asset’s liquidity and ease of access.</w:t>
      </w:r>
    </w:p>
    <w:p w:rsidR="008747FE" w:rsidRPr="006A1A6D" w:rsidRDefault="008747FE" w:rsidP="00B92155">
      <w:pPr>
        <w:spacing w:after="0"/>
        <w:rPr>
          <w:rFonts w:ascii="Arial" w:hAnsi="Arial" w:cs="Arial"/>
          <w:sz w:val="24"/>
        </w:rPr>
      </w:pPr>
    </w:p>
    <w:p w:rsidR="00A720A7" w:rsidRPr="006A1A6D" w:rsidRDefault="00A720A7" w:rsidP="00B92155">
      <w:pPr>
        <w:spacing w:after="0"/>
        <w:rPr>
          <w:rFonts w:ascii="Arial" w:hAnsi="Arial" w:cs="Arial"/>
          <w:sz w:val="24"/>
        </w:rPr>
      </w:pPr>
      <w:r w:rsidRPr="006A1A6D">
        <w:rPr>
          <w:rFonts w:ascii="Arial" w:hAnsi="Arial" w:cs="Arial"/>
          <w:sz w:val="24"/>
        </w:rPr>
        <w:t xml:space="preserve">As of </w:t>
      </w:r>
      <w:r w:rsidR="005F686A">
        <w:rPr>
          <w:rFonts w:ascii="Arial" w:hAnsi="Arial" w:cs="Arial"/>
          <w:sz w:val="24"/>
        </w:rPr>
        <w:t>September 30</w:t>
      </w:r>
      <w:r w:rsidR="00056BCF">
        <w:rPr>
          <w:rFonts w:ascii="Arial" w:hAnsi="Arial" w:cs="Arial"/>
          <w:sz w:val="24"/>
        </w:rPr>
        <w:t>, 2015</w:t>
      </w:r>
      <w:r w:rsidRPr="006A1A6D">
        <w:rPr>
          <w:rFonts w:ascii="Arial" w:hAnsi="Arial" w:cs="Arial"/>
          <w:sz w:val="24"/>
        </w:rPr>
        <w:t xml:space="preserve">, the </w:t>
      </w:r>
      <w:r w:rsidR="00056BCF">
        <w:rPr>
          <w:rFonts w:ascii="Arial" w:hAnsi="Arial" w:cs="Arial"/>
          <w:sz w:val="24"/>
        </w:rPr>
        <w:t xml:space="preserve">policy allocation to </w:t>
      </w:r>
      <w:r w:rsidR="008457B5">
        <w:rPr>
          <w:rFonts w:ascii="Arial" w:hAnsi="Arial" w:cs="Arial"/>
          <w:sz w:val="24"/>
        </w:rPr>
        <w:t xml:space="preserve">Global Equity </w:t>
      </w:r>
      <w:r w:rsidRPr="006A1A6D">
        <w:rPr>
          <w:rFonts w:ascii="Arial" w:hAnsi="Arial" w:cs="Arial"/>
          <w:sz w:val="24"/>
        </w:rPr>
        <w:t xml:space="preserve">is </w:t>
      </w:r>
      <w:r w:rsidR="00E570D2">
        <w:rPr>
          <w:rFonts w:ascii="Arial" w:hAnsi="Arial" w:cs="Arial"/>
          <w:sz w:val="24"/>
        </w:rPr>
        <w:t>38</w:t>
      </w:r>
      <w:r w:rsidR="00056BCF">
        <w:rPr>
          <w:rFonts w:ascii="Arial" w:hAnsi="Arial" w:cs="Arial"/>
          <w:sz w:val="24"/>
        </w:rPr>
        <w:t xml:space="preserve">%, </w:t>
      </w:r>
      <w:r w:rsidRPr="006A1A6D">
        <w:rPr>
          <w:rFonts w:ascii="Arial" w:hAnsi="Arial" w:cs="Arial"/>
          <w:sz w:val="24"/>
        </w:rPr>
        <w:t>apportioned:</w:t>
      </w:r>
    </w:p>
    <w:p w:rsidR="00A53742" w:rsidRPr="00E570D2" w:rsidRDefault="00A720A7" w:rsidP="00B92155">
      <w:pPr>
        <w:spacing w:after="0"/>
        <w:rPr>
          <w:rFonts w:ascii="Arial" w:hAnsi="Arial" w:cs="Arial"/>
          <w:sz w:val="24"/>
        </w:rPr>
      </w:pPr>
      <w:r w:rsidRPr="006A1A6D">
        <w:rPr>
          <w:rFonts w:ascii="Arial" w:hAnsi="Arial" w:cs="Arial"/>
          <w:sz w:val="24"/>
        </w:rPr>
        <w:tab/>
      </w:r>
      <w:r w:rsidR="00A53742">
        <w:rPr>
          <w:rFonts w:ascii="Arial" w:hAnsi="Arial" w:cs="Arial"/>
          <w:sz w:val="24"/>
        </w:rPr>
        <w:t>Capitalization-w</w:t>
      </w:r>
      <w:r w:rsidR="005F686A">
        <w:rPr>
          <w:rFonts w:ascii="Arial" w:hAnsi="Arial" w:cs="Arial"/>
          <w:sz w:val="24"/>
        </w:rPr>
        <w:t xml:space="preserve">eighted </w:t>
      </w:r>
      <w:r w:rsidR="00A53742">
        <w:rPr>
          <w:rFonts w:ascii="Arial" w:hAnsi="Arial" w:cs="Arial"/>
          <w:sz w:val="24"/>
        </w:rPr>
        <w:t>i</w:t>
      </w:r>
      <w:r w:rsidR="008457B5">
        <w:rPr>
          <w:rFonts w:ascii="Arial" w:hAnsi="Arial" w:cs="Arial"/>
          <w:sz w:val="24"/>
        </w:rPr>
        <w:t>ndex</w:t>
      </w:r>
      <w:r w:rsidR="009F05FB">
        <w:rPr>
          <w:rFonts w:ascii="Arial" w:hAnsi="Arial" w:cs="Arial"/>
          <w:sz w:val="24"/>
        </w:rPr>
        <w:t xml:space="preserve"> </w:t>
      </w:r>
      <w:r w:rsidRPr="006A1A6D">
        <w:rPr>
          <w:rFonts w:ascii="Arial" w:hAnsi="Arial" w:cs="Arial"/>
          <w:sz w:val="24"/>
        </w:rPr>
        <w:tab/>
      </w:r>
      <w:r w:rsidRPr="006A1A6D">
        <w:rPr>
          <w:rFonts w:ascii="Arial" w:hAnsi="Arial" w:cs="Arial"/>
          <w:sz w:val="24"/>
        </w:rPr>
        <w:tab/>
      </w:r>
      <w:r w:rsidR="00E570D2">
        <w:rPr>
          <w:rFonts w:ascii="Arial" w:hAnsi="Arial" w:cs="Arial"/>
          <w:sz w:val="24"/>
        </w:rPr>
        <w:t>29</w:t>
      </w:r>
      <w:r w:rsidRPr="006A1A6D">
        <w:rPr>
          <w:rFonts w:ascii="Arial" w:hAnsi="Arial" w:cs="Arial"/>
          <w:sz w:val="24"/>
        </w:rPr>
        <w:t>%</w:t>
      </w:r>
    </w:p>
    <w:p w:rsidR="009F05FB" w:rsidRPr="006A1A6D" w:rsidRDefault="00A720A7">
      <w:pPr>
        <w:spacing w:after="0"/>
        <w:rPr>
          <w:rFonts w:ascii="Arial" w:hAnsi="Arial" w:cs="Arial"/>
          <w:sz w:val="24"/>
        </w:rPr>
      </w:pPr>
      <w:r w:rsidRPr="006A1A6D">
        <w:rPr>
          <w:rFonts w:ascii="Arial" w:hAnsi="Arial" w:cs="Arial"/>
          <w:sz w:val="24"/>
        </w:rPr>
        <w:tab/>
      </w:r>
      <w:r w:rsidR="009F05FB">
        <w:rPr>
          <w:rFonts w:ascii="Arial" w:hAnsi="Arial" w:cs="Arial"/>
          <w:sz w:val="24"/>
        </w:rPr>
        <w:t>Factor</w:t>
      </w:r>
      <w:r w:rsidR="00A53742">
        <w:rPr>
          <w:rFonts w:ascii="Arial" w:hAnsi="Arial" w:cs="Arial"/>
          <w:sz w:val="24"/>
        </w:rPr>
        <w:t>-tilted index</w:t>
      </w:r>
      <w:r w:rsidR="00E570D2">
        <w:rPr>
          <w:rFonts w:ascii="Arial" w:hAnsi="Arial" w:cs="Arial"/>
          <w:sz w:val="24"/>
        </w:rPr>
        <w:tab/>
      </w:r>
      <w:r w:rsidR="00E570D2">
        <w:rPr>
          <w:rFonts w:ascii="Arial" w:hAnsi="Arial" w:cs="Arial"/>
          <w:sz w:val="24"/>
        </w:rPr>
        <w:tab/>
      </w:r>
      <w:r w:rsidR="00E570D2">
        <w:rPr>
          <w:rFonts w:ascii="Arial" w:hAnsi="Arial" w:cs="Arial"/>
          <w:sz w:val="24"/>
        </w:rPr>
        <w:tab/>
      </w:r>
      <w:r w:rsidR="00E570D2">
        <w:rPr>
          <w:rFonts w:ascii="Arial" w:hAnsi="Arial" w:cs="Arial"/>
          <w:sz w:val="24"/>
        </w:rPr>
        <w:tab/>
        <w:t>10%</w:t>
      </w:r>
    </w:p>
    <w:p w:rsidR="00A720A7" w:rsidRPr="00F75B7E" w:rsidRDefault="00A53742" w:rsidP="00B92155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 xml:space="preserve"> </w:t>
      </w:r>
    </w:p>
    <w:p w:rsidR="00056BCF" w:rsidRDefault="00056BCF" w:rsidP="00B92155">
      <w:pPr>
        <w:spacing w:after="0"/>
        <w:jc w:val="both"/>
        <w:rPr>
          <w:rFonts w:ascii="Arial" w:hAnsi="Arial" w:cs="Arial"/>
        </w:rPr>
      </w:pPr>
    </w:p>
    <w:p w:rsidR="00056BCF" w:rsidRDefault="00056BCF" w:rsidP="00ED3D95">
      <w:pPr>
        <w:spacing w:after="0"/>
        <w:rPr>
          <w:rFonts w:ascii="Arial" w:hAnsi="Arial" w:cs="Arial"/>
          <w:sz w:val="18"/>
          <w:szCs w:val="18"/>
        </w:rPr>
      </w:pPr>
      <w:r w:rsidRPr="00ED3D95">
        <w:rPr>
          <w:rFonts w:ascii="Arial" w:hAnsi="Arial" w:cs="Arial"/>
          <w:sz w:val="18"/>
          <w:szCs w:val="18"/>
        </w:rPr>
        <w:t>N.B. Numbers may not add due to rounding. Actual allocations may vary from policy a</w:t>
      </w:r>
      <w:r>
        <w:rPr>
          <w:rFonts w:ascii="Arial" w:hAnsi="Arial" w:cs="Arial"/>
          <w:sz w:val="18"/>
          <w:szCs w:val="18"/>
        </w:rPr>
        <w:t>l</w:t>
      </w:r>
      <w:r w:rsidRPr="00ED3D95">
        <w:rPr>
          <w:rFonts w:ascii="Arial" w:hAnsi="Arial" w:cs="Arial"/>
          <w:sz w:val="18"/>
          <w:szCs w:val="18"/>
        </w:rPr>
        <w:t>locations due to market movements</w:t>
      </w:r>
      <w:r>
        <w:rPr>
          <w:rFonts w:ascii="Arial" w:hAnsi="Arial" w:cs="Arial"/>
          <w:sz w:val="18"/>
          <w:szCs w:val="18"/>
        </w:rPr>
        <w:t xml:space="preserve">, efforts to minimizing trading costs of rebalancing, lags in rebalancing to less liquid asset classes, time required to vet managers, and efforts to diversify vintage year exposures. </w:t>
      </w:r>
    </w:p>
    <w:p w:rsidR="00017264" w:rsidRDefault="00017264" w:rsidP="00ED3D95">
      <w:pPr>
        <w:spacing w:after="0"/>
        <w:rPr>
          <w:rFonts w:ascii="Arial" w:hAnsi="Arial" w:cs="Arial"/>
          <w:sz w:val="18"/>
          <w:szCs w:val="18"/>
        </w:rPr>
      </w:pPr>
    </w:p>
    <w:p w:rsidR="00017264" w:rsidRDefault="00017264" w:rsidP="00ED3D95">
      <w:pPr>
        <w:spacing w:after="0"/>
        <w:rPr>
          <w:rFonts w:ascii="Arial" w:hAnsi="Arial" w:cs="Arial"/>
          <w:sz w:val="18"/>
          <w:szCs w:val="18"/>
        </w:rPr>
      </w:pPr>
    </w:p>
    <w:p w:rsidR="00017264" w:rsidRPr="00ED3D95" w:rsidRDefault="00017264" w:rsidP="00F75B7E">
      <w:pPr>
        <w:rPr>
          <w:rFonts w:ascii="Arial" w:hAnsi="Arial" w:cs="Arial"/>
          <w:sz w:val="18"/>
          <w:szCs w:val="18"/>
        </w:rPr>
      </w:pPr>
    </w:p>
    <w:sectPr w:rsidR="00017264" w:rsidRPr="00ED3D95" w:rsidSect="009C5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B0DB5"/>
    <w:multiLevelType w:val="hybridMultilevel"/>
    <w:tmpl w:val="21541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 Burns">
    <w15:presenceInfo w15:providerId="AD" w15:userId="S-1-5-21-962447594-881315751-3094582108-32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A7"/>
    <w:rsid w:val="00017264"/>
    <w:rsid w:val="00042E48"/>
    <w:rsid w:val="00056BCF"/>
    <w:rsid w:val="000716D5"/>
    <w:rsid w:val="000B52F9"/>
    <w:rsid w:val="000D3071"/>
    <w:rsid w:val="00112152"/>
    <w:rsid w:val="00116CC5"/>
    <w:rsid w:val="00153584"/>
    <w:rsid w:val="0016005F"/>
    <w:rsid w:val="001626B7"/>
    <w:rsid w:val="001B7C46"/>
    <w:rsid w:val="001D38B8"/>
    <w:rsid w:val="001F1DF9"/>
    <w:rsid w:val="00204392"/>
    <w:rsid w:val="00217EDF"/>
    <w:rsid w:val="002728F4"/>
    <w:rsid w:val="002A637D"/>
    <w:rsid w:val="002C567B"/>
    <w:rsid w:val="00301ACC"/>
    <w:rsid w:val="00332874"/>
    <w:rsid w:val="003847D0"/>
    <w:rsid w:val="00390ED7"/>
    <w:rsid w:val="00390FA7"/>
    <w:rsid w:val="003C63FE"/>
    <w:rsid w:val="003D074F"/>
    <w:rsid w:val="003D5363"/>
    <w:rsid w:val="003F6410"/>
    <w:rsid w:val="004928A3"/>
    <w:rsid w:val="004B13BC"/>
    <w:rsid w:val="004C34C6"/>
    <w:rsid w:val="004F3366"/>
    <w:rsid w:val="00512156"/>
    <w:rsid w:val="005445A1"/>
    <w:rsid w:val="005500CB"/>
    <w:rsid w:val="00561B08"/>
    <w:rsid w:val="00584B2E"/>
    <w:rsid w:val="005A00C1"/>
    <w:rsid w:val="005F1D3B"/>
    <w:rsid w:val="005F686A"/>
    <w:rsid w:val="00620CB3"/>
    <w:rsid w:val="0063374B"/>
    <w:rsid w:val="00646E42"/>
    <w:rsid w:val="006A1A6D"/>
    <w:rsid w:val="00710E28"/>
    <w:rsid w:val="00755EF7"/>
    <w:rsid w:val="007C58C9"/>
    <w:rsid w:val="007F354A"/>
    <w:rsid w:val="008038EA"/>
    <w:rsid w:val="008050E7"/>
    <w:rsid w:val="00805A6C"/>
    <w:rsid w:val="00806D09"/>
    <w:rsid w:val="00833403"/>
    <w:rsid w:val="008457B5"/>
    <w:rsid w:val="00856F40"/>
    <w:rsid w:val="008747FE"/>
    <w:rsid w:val="008A0ECA"/>
    <w:rsid w:val="008A43D6"/>
    <w:rsid w:val="008D0627"/>
    <w:rsid w:val="008D27A1"/>
    <w:rsid w:val="008F4481"/>
    <w:rsid w:val="009509E7"/>
    <w:rsid w:val="009C529E"/>
    <w:rsid w:val="009C74BF"/>
    <w:rsid w:val="009F05FB"/>
    <w:rsid w:val="009F3F74"/>
    <w:rsid w:val="00A03EF9"/>
    <w:rsid w:val="00A273D1"/>
    <w:rsid w:val="00A53742"/>
    <w:rsid w:val="00A71BD8"/>
    <w:rsid w:val="00A720A7"/>
    <w:rsid w:val="00A77166"/>
    <w:rsid w:val="00A90336"/>
    <w:rsid w:val="00AA1CAF"/>
    <w:rsid w:val="00AA42F8"/>
    <w:rsid w:val="00AE00A1"/>
    <w:rsid w:val="00AE551A"/>
    <w:rsid w:val="00B777BB"/>
    <w:rsid w:val="00B92155"/>
    <w:rsid w:val="00BA58F1"/>
    <w:rsid w:val="00C406A3"/>
    <w:rsid w:val="00C81E7C"/>
    <w:rsid w:val="00CB361B"/>
    <w:rsid w:val="00CD7FD8"/>
    <w:rsid w:val="00D06E7D"/>
    <w:rsid w:val="00D1298C"/>
    <w:rsid w:val="00D60D69"/>
    <w:rsid w:val="00D94AFE"/>
    <w:rsid w:val="00DA78D8"/>
    <w:rsid w:val="00DC20B1"/>
    <w:rsid w:val="00E040C6"/>
    <w:rsid w:val="00E3453F"/>
    <w:rsid w:val="00E54D5D"/>
    <w:rsid w:val="00E570D2"/>
    <w:rsid w:val="00E92C09"/>
    <w:rsid w:val="00E96B98"/>
    <w:rsid w:val="00EA58F7"/>
    <w:rsid w:val="00EC6BAE"/>
    <w:rsid w:val="00ED3D95"/>
    <w:rsid w:val="00F0715C"/>
    <w:rsid w:val="00F25B90"/>
    <w:rsid w:val="00F453C5"/>
    <w:rsid w:val="00F55B05"/>
    <w:rsid w:val="00F56212"/>
    <w:rsid w:val="00F75B7E"/>
    <w:rsid w:val="00FA6BD7"/>
    <w:rsid w:val="00FB02ED"/>
    <w:rsid w:val="00FE6552"/>
    <w:rsid w:val="00FE6615"/>
    <w:rsid w:val="00FF1570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5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1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C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C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C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5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1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C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C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C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9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Burns</dc:creator>
  <cp:lastModifiedBy>Anne-Marie Fink</cp:lastModifiedBy>
  <cp:revision>2</cp:revision>
  <cp:lastPrinted>2015-10-26T13:52:00Z</cp:lastPrinted>
  <dcterms:created xsi:type="dcterms:W3CDTF">2015-10-27T15:25:00Z</dcterms:created>
  <dcterms:modified xsi:type="dcterms:W3CDTF">2015-10-27T15:25:00Z</dcterms:modified>
</cp:coreProperties>
</file>