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7B" w:rsidRDefault="00E70F7B" w:rsidP="00E70F7B">
      <w:pPr>
        <w:rPr>
          <w:rFonts w:ascii="Arial" w:eastAsia="Times New Roman" w:hAnsi="Arial" w:cs="Arial"/>
        </w:rPr>
      </w:pPr>
      <w:r>
        <w:rPr>
          <w:rFonts w:ascii="Arial" w:eastAsia="Times New Roman" w:hAnsi="Arial" w:cs="Arial"/>
          <w:b/>
          <w:bCs/>
        </w:rPr>
        <w:t>Equity Hedge Fund Allocation</w:t>
      </w:r>
      <w:r>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p>
    <w:p w:rsidR="00E70F7B" w:rsidRDefault="00E70F7B" w:rsidP="00E70F7B">
      <w:pPr>
        <w:rPr>
          <w:rFonts w:ascii="Arial" w:eastAsia="Times New Roman" w:hAnsi="Arial" w:cs="Arial"/>
        </w:rPr>
      </w:pPr>
      <w:r>
        <w:rPr>
          <w:rFonts w:ascii="Arial" w:eastAsia="Times New Roman" w:hAnsi="Arial" w:cs="Arial"/>
        </w:rPr>
        <w:t xml:space="preserve">Within the larger equity allocation, the equity hedge fund allocation serves as a diversifier, seeking returns from active investment decisions (a.k.a. alpha) with low-to-moderate exposure to the broad equity markets (a.k.a. equity beta). Managers are expected to generate returns through active selection of securities, both long positions that benefit from outperformance and short positions that benefit from lagging or negative price moves. Additional return drivers available to equity hedge funds include sector, geography and instrument selection; gross and net exposure management; and currency exposure. Though primarily focused on equities, </w:t>
      </w:r>
      <w:r w:rsidR="00034E8F">
        <w:rPr>
          <w:rFonts w:ascii="Arial" w:eastAsia="Times New Roman" w:hAnsi="Arial" w:cs="Arial"/>
        </w:rPr>
        <w:t>fund</w:t>
      </w:r>
      <w:r>
        <w:rPr>
          <w:rFonts w:ascii="Arial" w:eastAsia="Times New Roman" w:hAnsi="Arial" w:cs="Arial"/>
        </w:rPr>
        <w:t>s in the equity hedge fund category may invest in bonds and other instruments when they can generate equity-like returns. Since returns are driven primarily by manager decisions, the allocation is actively managed.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 xml:space="preserve">The equity hedge fund portfolio seeks to </w:t>
      </w:r>
      <w:r w:rsidR="00034E8F">
        <w:rPr>
          <w:rFonts w:ascii="Arial" w:eastAsia="Times New Roman" w:hAnsi="Arial" w:cs="Arial"/>
        </w:rPr>
        <w:t xml:space="preserve">generate an equity-like return </w:t>
      </w:r>
      <w:r>
        <w:rPr>
          <w:rFonts w:ascii="Arial" w:eastAsia="Times New Roman" w:hAnsi="Arial" w:cs="Arial"/>
        </w:rPr>
        <w:t>over the long term with less risk</w:t>
      </w:r>
      <w:r w:rsidR="00034E8F">
        <w:rPr>
          <w:rFonts w:ascii="Arial" w:eastAsia="Times New Roman" w:hAnsi="Arial" w:cs="Arial"/>
        </w:rPr>
        <w:t xml:space="preserve"> than equity markets</w:t>
      </w:r>
      <w:r>
        <w:rPr>
          <w:rFonts w:ascii="Arial" w:eastAsia="Times New Roman" w:hAnsi="Arial" w:cs="Arial"/>
        </w:rPr>
        <w:t xml:space="preserve">, targeting roughly half the volatility. Consequently, the equity hedge fund allocation is </w:t>
      </w:r>
      <w:r w:rsidR="00034E8F">
        <w:rPr>
          <w:rFonts w:ascii="Arial" w:eastAsia="Times New Roman" w:hAnsi="Arial" w:cs="Arial"/>
        </w:rPr>
        <w:t xml:space="preserve">evaluated on its </w:t>
      </w:r>
      <w:r>
        <w:rPr>
          <w:rFonts w:ascii="Arial" w:eastAsia="Times New Roman" w:hAnsi="Arial" w:cs="Arial"/>
        </w:rPr>
        <w:t xml:space="preserve">expected </w:t>
      </w:r>
      <w:r w:rsidR="00034E8F">
        <w:rPr>
          <w:rFonts w:ascii="Arial" w:eastAsia="Times New Roman" w:hAnsi="Arial" w:cs="Arial"/>
        </w:rPr>
        <w:t xml:space="preserve">efficiency, seeking </w:t>
      </w:r>
      <w:r>
        <w:rPr>
          <w:rFonts w:ascii="Arial" w:eastAsia="Times New Roman" w:hAnsi="Arial" w:cs="Arial"/>
        </w:rPr>
        <w:t>higher retur</w:t>
      </w:r>
      <w:r w:rsidR="00034E8F">
        <w:rPr>
          <w:rFonts w:ascii="Arial" w:eastAsia="Times New Roman" w:hAnsi="Arial" w:cs="Arial"/>
        </w:rPr>
        <w:t>n per unit of return volatility</w:t>
      </w:r>
      <w:r>
        <w:rPr>
          <w:rFonts w:ascii="Arial" w:eastAsia="Times New Roman" w:hAnsi="Arial" w:cs="Arial"/>
        </w:rPr>
        <w:t xml:space="preserve"> than the equity index allocation.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HFRI Equity Hedge index serves as the benchmark. Since the index has more market exposure (beta) than the equity hedge funds in the portfolio, it is to be expected that the allocation will trail the benchmark when equity markets are strong and outperform when they are weak. Over the long term, the allocation is expected to match or outperform the HFRI Equity Hedge index.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i/>
          <w:iCs/>
        </w:rPr>
        <w:t>SIC Investment Philosophy -  Equity Hedge Funds</w:t>
      </w:r>
    </w:p>
    <w:p w:rsidR="00E70F7B" w:rsidRDefault="00E70F7B" w:rsidP="00E70F7B">
      <w:pPr>
        <w:rPr>
          <w:rFonts w:ascii="Arial" w:eastAsia="Times New Roman" w:hAnsi="Arial" w:cs="Arial"/>
        </w:rPr>
      </w:pPr>
    </w:p>
    <w:p w:rsidR="00E70F7B" w:rsidRDefault="00E70F7B" w:rsidP="00E70F7B">
      <w:pPr>
        <w:numPr>
          <w:ilvl w:val="0"/>
          <w:numId w:val="1"/>
        </w:numPr>
        <w:rPr>
          <w:rFonts w:ascii="Arial" w:eastAsia="Times New Roman" w:hAnsi="Arial" w:cs="Arial"/>
        </w:rPr>
      </w:pPr>
      <w:r>
        <w:rPr>
          <w:rFonts w:ascii="Arial" w:eastAsia="Times New Roman" w:hAnsi="Arial" w:cs="Arial"/>
        </w:rPr>
        <w:t>The SIC is a long-term investor in equity hedge funds, seeking strong returns and moderate volatility over a full market cycle.  </w:t>
      </w:r>
    </w:p>
    <w:p w:rsidR="00E70F7B" w:rsidRDefault="00E70F7B" w:rsidP="00E70F7B">
      <w:pPr>
        <w:rPr>
          <w:rFonts w:ascii="Arial" w:eastAsia="Times New Roman" w:hAnsi="Arial" w:cs="Arial"/>
        </w:rPr>
      </w:pPr>
    </w:p>
    <w:p w:rsidR="00E70F7B" w:rsidRDefault="00E70F7B" w:rsidP="00E70F7B">
      <w:pPr>
        <w:numPr>
          <w:ilvl w:val="0"/>
          <w:numId w:val="2"/>
        </w:numPr>
        <w:rPr>
          <w:rFonts w:ascii="Arial" w:eastAsia="Times New Roman" w:hAnsi="Arial" w:cs="Arial"/>
        </w:rPr>
      </w:pPr>
      <w:r>
        <w:rPr>
          <w:rFonts w:ascii="Arial" w:eastAsia="Times New Roman" w:hAnsi="Arial" w:cs="Arial"/>
        </w:rPr>
        <w:t>Equity hedge funds play the following roles for the total portfolio:</w:t>
      </w:r>
    </w:p>
    <w:p w:rsidR="00E70F7B" w:rsidRDefault="00E70F7B" w:rsidP="00E70F7B">
      <w:pPr>
        <w:numPr>
          <w:ilvl w:val="1"/>
          <w:numId w:val="2"/>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2"/>
        </w:numPr>
        <w:rPr>
          <w:rFonts w:ascii="Arial" w:eastAsia="Times New Roman" w:hAnsi="Arial" w:cs="Arial"/>
        </w:rPr>
      </w:pPr>
      <w:r>
        <w:rPr>
          <w:rFonts w:ascii="Arial" w:eastAsia="Times New Roman" w:hAnsi="Arial" w:cs="Arial"/>
        </w:rPr>
        <w:t>Alpha capture </w:t>
      </w:r>
    </w:p>
    <w:p w:rsidR="00E70F7B" w:rsidRDefault="00E70F7B" w:rsidP="00E70F7B">
      <w:pPr>
        <w:numPr>
          <w:ilvl w:val="1"/>
          <w:numId w:val="2"/>
        </w:numPr>
        <w:rPr>
          <w:rFonts w:ascii="Arial" w:eastAsia="Times New Roman" w:hAnsi="Arial" w:cs="Arial"/>
        </w:rPr>
      </w:pPr>
      <w:r>
        <w:rPr>
          <w:rFonts w:ascii="Arial" w:eastAsia="Times New Roman" w:hAnsi="Arial" w:cs="Arial"/>
        </w:rPr>
        <w:t>Risk mitigation</w:t>
      </w:r>
    </w:p>
    <w:p w:rsidR="00E70F7B" w:rsidRDefault="00E70F7B" w:rsidP="00E70F7B">
      <w:pPr>
        <w:numPr>
          <w:ilvl w:val="1"/>
          <w:numId w:val="2"/>
        </w:numPr>
        <w:rPr>
          <w:rFonts w:ascii="Arial" w:eastAsia="Times New Roman" w:hAnsi="Arial" w:cs="Arial"/>
        </w:rPr>
      </w:pPr>
      <w:r>
        <w:rPr>
          <w:rFonts w:ascii="Arial" w:eastAsia="Times New Roman" w:hAnsi="Arial" w:cs="Arial"/>
        </w:rPr>
        <w:t xml:space="preserve">Moderate liquidity </w:t>
      </w:r>
      <w:r>
        <w:rPr>
          <w:rFonts w:ascii="Arial" w:eastAsia="Times New Roman" w:hAnsi="Arial" w:cs="Arial"/>
        </w:rPr>
        <w:br/>
      </w:r>
    </w:p>
    <w:p w:rsidR="00E70F7B" w:rsidRDefault="009B317E" w:rsidP="00E70F7B">
      <w:pPr>
        <w:numPr>
          <w:ilvl w:val="0"/>
          <w:numId w:val="2"/>
        </w:numPr>
        <w:rPr>
          <w:rFonts w:ascii="Arial" w:eastAsia="Times New Roman" w:hAnsi="Arial" w:cs="Arial"/>
        </w:rPr>
      </w:pPr>
      <w:r>
        <w:rPr>
          <w:rFonts w:ascii="Arial" w:eastAsia="Times New Roman" w:hAnsi="Arial" w:cs="Arial"/>
        </w:rPr>
        <w:t xml:space="preserve">Accessing </w:t>
      </w:r>
      <w:r w:rsidR="00E70F7B">
        <w:rPr>
          <w:rFonts w:ascii="Arial" w:eastAsia="Times New Roman" w:hAnsi="Arial" w:cs="Arial"/>
        </w:rPr>
        <w:t>idiosyncratic returns, primarily from individual company securities, is the role of the equity hedge fund portfolio. Hedge funds have broad mandates and the SIC expects equity hedge fund managers to take ownership of all decisions around investments. Long-term, net-of-fees returns and future return potential are the metrics on which the SIC assesses hedge fund investments.</w:t>
      </w:r>
      <w:r w:rsidR="00E70F7B">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Since risk mitigation is an important goal of the equity hedge fund allocation and the overall portfolio’s largest risk is equity market exposure (beta), the SIC seeks to build a portfolio of equity hedge funds with lim</w:t>
      </w:r>
      <w:r w:rsidR="009B317E">
        <w:rPr>
          <w:rFonts w:ascii="Arial" w:eastAsia="Times New Roman" w:hAnsi="Arial" w:cs="Arial"/>
        </w:rPr>
        <w:t>ited equity beta (targeting &lt;0.</w:t>
      </w:r>
      <w:r w:rsidR="00641C7A">
        <w:rPr>
          <w:rFonts w:ascii="Arial" w:eastAsia="Times New Roman" w:hAnsi="Arial" w:cs="Arial"/>
        </w:rPr>
        <w:t>6 collectively</w:t>
      </w:r>
      <w:r>
        <w:rPr>
          <w:rFonts w:ascii="Arial" w:eastAsia="Times New Roman" w:hAnsi="Arial" w:cs="Arial"/>
        </w:rPr>
        <w:t xml:space="preserve"> </w:t>
      </w:r>
      <w:r w:rsidR="009B317E">
        <w:rPr>
          <w:rFonts w:ascii="Arial" w:eastAsia="Times New Roman" w:hAnsi="Arial" w:cs="Arial"/>
        </w:rPr>
        <w:t xml:space="preserve">across </w:t>
      </w:r>
      <w:r w:rsidR="00641C7A">
        <w:rPr>
          <w:rFonts w:ascii="Arial" w:eastAsia="Times New Roman" w:hAnsi="Arial" w:cs="Arial"/>
        </w:rPr>
        <w:t>the</w:t>
      </w:r>
      <w:r w:rsidR="009B317E">
        <w:rPr>
          <w:rFonts w:ascii="Arial" w:eastAsia="Times New Roman" w:hAnsi="Arial" w:cs="Arial"/>
        </w:rPr>
        <w:t xml:space="preserve"> equity hedge fund allocation</w:t>
      </w:r>
      <w:r>
        <w:rPr>
          <w:rFonts w:ascii="Arial" w:eastAsia="Times New Roman" w:hAnsi="Arial" w:cs="Arial"/>
        </w:rPr>
        <w:t xml:space="preserve">).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lastRenderedPageBreak/>
        <w:t xml:space="preserve">The SIC seeks to invest in equity hedge funds in the most effective manner possible, balancing returns, risks and costs. Since equity beta can be achieved more cheaply through index funds, the SIC selects a portfolio of equity hedge funds whose returns are driven by active security-selection decisions (alpha) rather than broad market moves (beta). Successful active management, particularly for returns uncorrelated with broad markets, is rare and costly. The SIC seeks to hire the best managers and uses performance fee structures to incentivize them.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 xml:space="preserve">Equity hedge funds are generally given a broad mandate, with the ability to invest in a wide variety of securities, to manage their market exposure, and to hedge out unwanted exposures. While no strategy works in every environment, the SIC holds equity hedge fund managers to a high bar in terms of using their broad mandates to navigate a wide variety of environments. Assessment of future return potential drives the SIC’s investment decisions.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Diversification among hedge funds is important, as idiosyncratic decisions drive returns. The SIC seeks to invest with managers that provide diversification to the broader portfolio and to one another. Though each fund will pursue different strategies,  the equity hedge funds can be classified into two basic strategies:</w:t>
      </w:r>
    </w:p>
    <w:p w:rsidR="00E70F7B" w:rsidRDefault="00E70F7B" w:rsidP="00E70F7B">
      <w:pPr>
        <w:numPr>
          <w:ilvl w:val="1"/>
          <w:numId w:val="2"/>
        </w:numPr>
        <w:rPr>
          <w:rFonts w:ascii="Arial" w:eastAsia="Times New Roman" w:hAnsi="Arial" w:cs="Arial"/>
        </w:rPr>
      </w:pPr>
      <w:r>
        <w:rPr>
          <w:rFonts w:ascii="Arial" w:eastAsia="Times New Roman" w:hAnsi="Arial" w:cs="Arial"/>
          <w:b/>
          <w:bCs/>
        </w:rPr>
        <w:t>Equity long/short</w:t>
      </w:r>
      <w:r>
        <w:rPr>
          <w:rFonts w:ascii="Arial" w:eastAsia="Times New Roman" w:hAnsi="Arial" w:cs="Arial"/>
        </w:rPr>
        <w:t xml:space="preserve"> – Generate returns through selection of individual securities (generally equities), identifying and going long securities that are undervalued and putting on short positions in securities that are overvalued. The balance of longs and shorts is expected to i</w:t>
      </w:r>
      <w:r w:rsidR="009B317E">
        <w:rPr>
          <w:rFonts w:ascii="Arial" w:eastAsia="Times New Roman" w:hAnsi="Arial" w:cs="Arial"/>
        </w:rPr>
        <w:t>nsulate</w:t>
      </w:r>
      <w:r>
        <w:rPr>
          <w:rFonts w:ascii="Arial" w:eastAsia="Times New Roman" w:hAnsi="Arial" w:cs="Arial"/>
        </w:rPr>
        <w:t xml:space="preserve"> the portfolio from broad market moves, with performance based on the </w:t>
      </w:r>
      <w:r w:rsidR="009B317E">
        <w:rPr>
          <w:rFonts w:ascii="Arial" w:eastAsia="Times New Roman" w:hAnsi="Arial" w:cs="Arial"/>
        </w:rPr>
        <w:t xml:space="preserve">relative </w:t>
      </w:r>
      <w:r>
        <w:rPr>
          <w:rFonts w:ascii="Arial" w:eastAsia="Times New Roman" w:hAnsi="Arial" w:cs="Arial"/>
        </w:rPr>
        <w:t xml:space="preserve">movement of </w:t>
      </w:r>
      <w:r w:rsidR="009B317E">
        <w:rPr>
          <w:rFonts w:ascii="Arial" w:eastAsia="Times New Roman" w:hAnsi="Arial" w:cs="Arial"/>
        </w:rPr>
        <w:t xml:space="preserve">individual </w:t>
      </w:r>
      <w:r>
        <w:rPr>
          <w:rFonts w:ascii="Arial" w:eastAsia="Times New Roman" w:hAnsi="Arial" w:cs="Arial"/>
        </w:rPr>
        <w:t>securities.</w:t>
      </w:r>
    </w:p>
    <w:p w:rsidR="00E70F7B" w:rsidRDefault="00E70F7B" w:rsidP="00E70F7B">
      <w:pPr>
        <w:numPr>
          <w:ilvl w:val="1"/>
          <w:numId w:val="2"/>
        </w:numPr>
        <w:rPr>
          <w:rFonts w:ascii="Arial" w:eastAsia="Times New Roman" w:hAnsi="Arial" w:cs="Arial"/>
        </w:rPr>
      </w:pPr>
      <w:r>
        <w:rPr>
          <w:rFonts w:ascii="Arial" w:eastAsia="Times New Roman" w:hAnsi="Arial" w:cs="Arial"/>
          <w:b/>
          <w:bCs/>
        </w:rPr>
        <w:t>Event-driven</w:t>
      </w:r>
      <w:r>
        <w:rPr>
          <w:rFonts w:ascii="Arial" w:eastAsia="Times New Roman" w:hAnsi="Arial" w:cs="Arial"/>
        </w:rPr>
        <w:t xml:space="preserve"> – Generate returns by anticipating mergers or other events that will produce a change in a security’s value, and either going long or short securities that will benefit. With generally more concentrated exposures, event-driven strategies can be more volatile.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 xml:space="preserve">With its equity hedge funds, the SIC accepts longer lock-ups and less frequent opportunities to redeem. This moderate liquidity is expected to provide hedge fund managers with a longer time horizon over which to execute their strategies. </w:t>
      </w:r>
    </w:p>
    <w:p w:rsidR="00E70F7B" w:rsidRDefault="00E70F7B" w:rsidP="00E70F7B">
      <w:pPr>
        <w:spacing w:after="150"/>
        <w:rPr>
          <w:rFonts w:ascii="Trebuchet MS" w:hAnsi="Trebuchet MS"/>
          <w:sz w:val="17"/>
          <w:szCs w:val="17"/>
        </w:rPr>
      </w:pPr>
    </w:p>
    <w:p w:rsidR="00E70F7B" w:rsidRDefault="00E70F7B" w:rsidP="00E70F7B">
      <w:pPr>
        <w:rPr>
          <w:rFonts w:ascii="Arial" w:eastAsia="Times New Roman" w:hAnsi="Arial" w:cs="Arial"/>
        </w:rPr>
      </w:pPr>
      <w:r>
        <w:rPr>
          <w:rFonts w:ascii="Arial" w:eastAsia="Times New Roman" w:hAnsi="Arial" w:cs="Arial"/>
        </w:rPr>
        <w:t xml:space="preserve">As of September 30, 2015, the policy allocation to Equity Hedge Funds is 8%. </w:t>
      </w: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rsidP="00E70F7B">
      <w:pPr>
        <w:rPr>
          <w:rFonts w:ascii="Arial" w:eastAsia="Times New Roman" w:hAnsi="Arial" w:cs="Arial"/>
          <w:b/>
          <w:bCs/>
        </w:rPr>
      </w:pPr>
    </w:p>
    <w:p w:rsidR="00E70F7B" w:rsidRDefault="00E70F7B">
      <w:pPr>
        <w:spacing w:after="200" w:line="276" w:lineRule="auto"/>
        <w:rPr>
          <w:rFonts w:ascii="Arial" w:eastAsia="Times New Roman" w:hAnsi="Arial" w:cs="Arial"/>
          <w:b/>
          <w:bCs/>
        </w:rPr>
      </w:pPr>
      <w:r>
        <w:rPr>
          <w:rFonts w:ascii="Arial" w:eastAsia="Times New Roman" w:hAnsi="Arial" w:cs="Arial"/>
          <w:b/>
          <w:bCs/>
        </w:rPr>
        <w:br w:type="page"/>
      </w:r>
    </w:p>
    <w:p w:rsidR="00E70F7B" w:rsidRDefault="00E70F7B" w:rsidP="00E70F7B">
      <w:pPr>
        <w:rPr>
          <w:rFonts w:ascii="Arial" w:eastAsia="Times New Roman" w:hAnsi="Arial" w:cs="Arial"/>
        </w:rPr>
      </w:pPr>
      <w:r>
        <w:rPr>
          <w:rFonts w:ascii="Arial" w:eastAsia="Times New Roman" w:hAnsi="Arial" w:cs="Arial"/>
          <w:b/>
          <w:bCs/>
        </w:rPr>
        <w:lastRenderedPageBreak/>
        <w:t>Private investment</w:t>
      </w:r>
      <w:r w:rsidR="009B317E">
        <w:rPr>
          <w:rFonts w:ascii="Arial" w:eastAsia="Times New Roman" w:hAnsi="Arial" w:cs="Arial"/>
          <w:b/>
          <w:bCs/>
        </w:rPr>
        <w:t>s</w:t>
      </w:r>
      <w:r>
        <w:rPr>
          <w:rFonts w:ascii="Arial" w:eastAsia="Times New Roman" w:hAnsi="Arial" w:cs="Arial"/>
        </w:rPr>
        <w:t xml:space="preserve"> (a.k.a. private equity) allocation focuses primarily on return generation and is expected to be the </w:t>
      </w:r>
      <w:r w:rsidR="009B317E">
        <w:rPr>
          <w:rFonts w:ascii="Arial" w:eastAsia="Times New Roman" w:hAnsi="Arial" w:cs="Arial"/>
        </w:rPr>
        <w:t xml:space="preserve">overall portfolio’s </w:t>
      </w:r>
      <w:r>
        <w:rPr>
          <w:rFonts w:ascii="Arial" w:eastAsia="Times New Roman" w:hAnsi="Arial" w:cs="Arial"/>
        </w:rPr>
        <w:t xml:space="preserve">highest return generator </w:t>
      </w:r>
      <w:r w:rsidR="009B317E">
        <w:rPr>
          <w:rFonts w:ascii="Arial" w:eastAsia="Times New Roman" w:hAnsi="Arial" w:cs="Arial"/>
        </w:rPr>
        <w:t>over the long term</w:t>
      </w:r>
      <w:r>
        <w:rPr>
          <w:rFonts w:ascii="Arial" w:eastAsia="Times New Roman" w:hAnsi="Arial" w:cs="Arial"/>
        </w:rPr>
        <w:t xml:space="preserve">. In addition to accepting the economic growth and corporate profitability risks found in the other equity segments, private investments are subject to risks associated with illiquidity, appraised valuations, leverage, and lumpy performance </w:t>
      </w:r>
      <w:r w:rsidR="009B317E">
        <w:rPr>
          <w:rFonts w:ascii="Arial" w:eastAsia="Times New Roman" w:hAnsi="Arial" w:cs="Arial"/>
        </w:rPr>
        <w:t>due to reliance on</w:t>
      </w:r>
      <w:r>
        <w:rPr>
          <w:rFonts w:ascii="Arial" w:eastAsia="Times New Roman" w:hAnsi="Arial" w:cs="Arial"/>
        </w:rPr>
        <w:t xml:space="preserve"> capital gains</w:t>
      </w:r>
      <w:r w:rsidR="009B317E">
        <w:rPr>
          <w:rFonts w:ascii="Arial" w:eastAsia="Times New Roman" w:hAnsi="Arial" w:cs="Arial"/>
        </w:rPr>
        <w:t xml:space="preserve"> </w:t>
      </w:r>
      <w:r w:rsidR="009B317E">
        <w:rPr>
          <w:rFonts w:ascii="Arial" w:eastAsia="Times New Roman" w:hAnsi="Arial" w:cs="Arial"/>
        </w:rPr>
        <w:t>primarily</w:t>
      </w:r>
      <w:r>
        <w:rPr>
          <w:rFonts w:ascii="Arial" w:eastAsia="Times New Roman" w:hAnsi="Arial" w:cs="Arial"/>
        </w:rPr>
        <w:t>. Though among the riskiest assets, private equity has low observed volatility due to the infrequency of valuations given the reliance on appraisals.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Private investments achieve their returns through broad exposure to unlisted common and preferred stock, and to a lesser degree, subordinated and senior debt of companies that are, in most instances, privately held. The SIC invests with general partners that</w:t>
      </w:r>
      <w:r w:rsidR="009B317E">
        <w:rPr>
          <w:rFonts w:ascii="Arial" w:eastAsia="Times New Roman" w:hAnsi="Arial" w:cs="Arial"/>
        </w:rPr>
        <w:t>,</w:t>
      </w:r>
      <w:r>
        <w:rPr>
          <w:rFonts w:ascii="Arial" w:eastAsia="Times New Roman" w:hAnsi="Arial" w:cs="Arial"/>
        </w:rPr>
        <w:t xml:space="preserve"> through limited partnership vehicles</w:t>
      </w:r>
      <w:r w:rsidR="009B317E">
        <w:rPr>
          <w:rFonts w:ascii="Arial" w:eastAsia="Times New Roman" w:hAnsi="Arial" w:cs="Arial"/>
        </w:rPr>
        <w:t>, pursue</w:t>
      </w:r>
      <w:r>
        <w:rPr>
          <w:rFonts w:ascii="Arial" w:eastAsia="Times New Roman" w:hAnsi="Arial" w:cs="Arial"/>
        </w:rPr>
        <w:t xml:space="preserve"> a variety of strategies </w:t>
      </w:r>
      <w:r w:rsidR="009B317E">
        <w:rPr>
          <w:rFonts w:ascii="Arial" w:eastAsia="Times New Roman" w:hAnsi="Arial" w:cs="Arial"/>
        </w:rPr>
        <w:t xml:space="preserve">suited to private situations. </w:t>
      </w:r>
    </w:p>
    <w:p w:rsidR="009B317E" w:rsidRDefault="009B317E"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Given the diversity of private markets and the idiosyncratic nature of performance, manager res</w:t>
      </w:r>
      <w:r w:rsidR="009B317E">
        <w:rPr>
          <w:rFonts w:ascii="Arial" w:eastAsia="Times New Roman" w:hAnsi="Arial" w:cs="Arial"/>
        </w:rPr>
        <w:t>ources and skill are crucial;</w:t>
      </w:r>
      <w:r>
        <w:rPr>
          <w:rFonts w:ascii="Arial" w:eastAsia="Times New Roman" w:hAnsi="Arial" w:cs="Arial"/>
        </w:rPr>
        <w:t xml:space="preserve"> therefore</w:t>
      </w:r>
      <w:r w:rsidR="009B317E">
        <w:rPr>
          <w:rFonts w:ascii="Arial" w:eastAsia="Times New Roman" w:hAnsi="Arial" w:cs="Arial"/>
        </w:rPr>
        <w:t>,</w:t>
      </w:r>
      <w:r>
        <w:rPr>
          <w:rFonts w:ascii="Arial" w:eastAsia="Times New Roman" w:hAnsi="Arial" w:cs="Arial"/>
        </w:rPr>
        <w:t xml:space="preserve"> the private investments allocation is actively managed. Due to the clo</w:t>
      </w:r>
      <w:r w:rsidR="009B317E">
        <w:rPr>
          <w:rFonts w:ascii="Arial" w:eastAsia="Times New Roman" w:hAnsi="Arial" w:cs="Arial"/>
        </w:rPr>
        <w:t>sed-end nature of private-investment</w:t>
      </w:r>
      <w:r>
        <w:rPr>
          <w:rFonts w:ascii="Arial" w:eastAsia="Times New Roman" w:hAnsi="Arial" w:cs="Arial"/>
        </w:rPr>
        <w:t xml:space="preserve"> funds and defined investment </w:t>
      </w:r>
      <w:r w:rsidR="009B317E">
        <w:rPr>
          <w:rFonts w:ascii="Arial" w:eastAsia="Times New Roman" w:hAnsi="Arial" w:cs="Arial"/>
        </w:rPr>
        <w:t>period</w:t>
      </w:r>
      <w:r>
        <w:rPr>
          <w:rFonts w:ascii="Arial" w:eastAsia="Times New Roman" w:hAnsi="Arial" w:cs="Arial"/>
        </w:rPr>
        <w:t>s (typically 3-7 years to invest a fund and an additional 3-5 years to harvest investments), new commitments are spread out across vintage years to diversify risks associated with underlying economic and market cycles.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ILPA All Funds Index serves as the benchm</w:t>
      </w:r>
      <w:r w:rsidR="00A27634">
        <w:rPr>
          <w:rFonts w:ascii="Arial" w:eastAsia="Times New Roman" w:hAnsi="Arial" w:cs="Arial"/>
        </w:rPr>
        <w:t xml:space="preserve">ark for the private investments </w:t>
      </w:r>
      <w:r>
        <w:rPr>
          <w:rFonts w:ascii="Arial" w:eastAsia="Times New Roman" w:hAnsi="Arial" w:cs="Arial"/>
        </w:rPr>
        <w:t>allocation. </w:t>
      </w:r>
    </w:p>
    <w:p w:rsidR="00E70F7B" w:rsidRDefault="00E70F7B" w:rsidP="00E70F7B">
      <w:pPr>
        <w:rPr>
          <w:rFonts w:ascii="Arial" w:eastAsia="Times New Roman" w:hAnsi="Arial" w:cs="Arial"/>
          <w:sz w:val="14"/>
          <w:szCs w:val="14"/>
        </w:rPr>
      </w:pPr>
    </w:p>
    <w:p w:rsidR="00E70F7B" w:rsidRDefault="00E70F7B" w:rsidP="00E70F7B">
      <w:pPr>
        <w:rPr>
          <w:rFonts w:ascii="Arial" w:eastAsia="Times New Roman" w:hAnsi="Arial" w:cs="Arial"/>
        </w:rPr>
      </w:pPr>
      <w:r>
        <w:rPr>
          <w:rFonts w:ascii="Arial" w:eastAsia="Times New Roman" w:hAnsi="Arial" w:cs="Arial"/>
          <w:i/>
          <w:iCs/>
        </w:rPr>
        <w:t>SIC Investment Philosophy -  Private Investments</w:t>
      </w:r>
    </w:p>
    <w:p w:rsidR="00E70F7B" w:rsidRDefault="00E70F7B" w:rsidP="00E70F7B">
      <w:pPr>
        <w:rPr>
          <w:rFonts w:ascii="Arial" w:eastAsia="Times New Roman" w:hAnsi="Arial" w:cs="Arial"/>
        </w:rPr>
      </w:pPr>
    </w:p>
    <w:p w:rsidR="00E70F7B" w:rsidRDefault="00E70F7B" w:rsidP="00E70F7B">
      <w:pPr>
        <w:numPr>
          <w:ilvl w:val="0"/>
          <w:numId w:val="3"/>
        </w:numPr>
        <w:rPr>
          <w:rFonts w:ascii="Arial" w:eastAsia="Times New Roman" w:hAnsi="Arial" w:cs="Arial"/>
        </w:rPr>
      </w:pPr>
      <w:r>
        <w:rPr>
          <w:rFonts w:ascii="Arial" w:eastAsia="Times New Roman" w:hAnsi="Arial" w:cs="Arial"/>
        </w:rPr>
        <w:t>The SIC is a long-term investor in private investments, seeking a large positive return over a full investment cycle</w:t>
      </w:r>
      <w:r w:rsidR="00A27634">
        <w:rPr>
          <w:rFonts w:ascii="Arial" w:eastAsia="Times New Roman" w:hAnsi="Arial" w:cs="Arial"/>
        </w:rPr>
        <w:t>, typically 10 years.</w:t>
      </w:r>
      <w:r>
        <w:rPr>
          <w:rFonts w:ascii="Arial" w:eastAsia="Times New Roman" w:hAnsi="Arial" w:cs="Arial"/>
        </w:rPr>
        <w:t xml:space="preserve">  </w:t>
      </w:r>
    </w:p>
    <w:p w:rsidR="00E70F7B" w:rsidRDefault="00E70F7B" w:rsidP="00E70F7B">
      <w:pPr>
        <w:rPr>
          <w:rFonts w:ascii="Arial" w:eastAsia="Times New Roman" w:hAnsi="Arial" w:cs="Arial"/>
        </w:rPr>
      </w:pPr>
    </w:p>
    <w:p w:rsidR="00E70F7B" w:rsidRDefault="00E70F7B" w:rsidP="00E70F7B">
      <w:pPr>
        <w:numPr>
          <w:ilvl w:val="0"/>
          <w:numId w:val="4"/>
        </w:numPr>
        <w:rPr>
          <w:rFonts w:ascii="Arial" w:eastAsia="Times New Roman" w:hAnsi="Arial" w:cs="Arial"/>
        </w:rPr>
      </w:pPr>
      <w:r>
        <w:rPr>
          <w:rFonts w:ascii="Arial" w:eastAsia="Times New Roman" w:hAnsi="Arial" w:cs="Arial"/>
        </w:rPr>
        <w:t>Private investments play the following roles for the total portfolio:</w:t>
      </w:r>
    </w:p>
    <w:p w:rsidR="00E70F7B" w:rsidRDefault="00E70F7B" w:rsidP="00E70F7B">
      <w:pPr>
        <w:numPr>
          <w:ilvl w:val="1"/>
          <w:numId w:val="4"/>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4"/>
        </w:numPr>
        <w:rPr>
          <w:rFonts w:ascii="Arial" w:eastAsia="Times New Roman" w:hAnsi="Arial" w:cs="Arial"/>
        </w:rPr>
      </w:pPr>
      <w:r>
        <w:rPr>
          <w:rFonts w:ascii="Arial" w:eastAsia="Times New Roman" w:hAnsi="Arial" w:cs="Arial"/>
        </w:rPr>
        <w:t>Idiosyncratic performance</w:t>
      </w:r>
    </w:p>
    <w:p w:rsidR="00034E8F" w:rsidRDefault="00034E8F" w:rsidP="00E70F7B">
      <w:pPr>
        <w:numPr>
          <w:ilvl w:val="1"/>
          <w:numId w:val="4"/>
        </w:numPr>
        <w:rPr>
          <w:rFonts w:ascii="Arial" w:eastAsia="Times New Roman" w:hAnsi="Arial" w:cs="Arial"/>
        </w:rPr>
      </w:pPr>
      <w:r>
        <w:rPr>
          <w:rFonts w:ascii="Arial" w:eastAsia="Times New Roman" w:hAnsi="Arial" w:cs="Arial"/>
        </w:rPr>
        <w:t xml:space="preserve">Access </w:t>
      </w:r>
      <w:r w:rsidR="00A27634">
        <w:rPr>
          <w:rFonts w:ascii="Arial" w:eastAsia="Times New Roman" w:hAnsi="Arial" w:cs="Arial"/>
        </w:rPr>
        <w:t xml:space="preserve">to </w:t>
      </w:r>
      <w:r>
        <w:rPr>
          <w:rFonts w:ascii="Arial" w:eastAsia="Times New Roman" w:hAnsi="Arial" w:cs="Arial"/>
        </w:rPr>
        <w:t>value creation not accessible in public markets</w:t>
      </w:r>
    </w:p>
    <w:p w:rsidR="00E70F7B" w:rsidRDefault="00E70F7B" w:rsidP="00E70F7B">
      <w:pPr>
        <w:numPr>
          <w:ilvl w:val="1"/>
          <w:numId w:val="4"/>
        </w:numPr>
        <w:rPr>
          <w:rFonts w:ascii="Arial" w:eastAsia="Times New Roman" w:hAnsi="Arial" w:cs="Arial"/>
        </w:rPr>
      </w:pPr>
      <w:r>
        <w:rPr>
          <w:rFonts w:ascii="Arial" w:eastAsia="Times New Roman" w:hAnsi="Arial" w:cs="Arial"/>
        </w:rPr>
        <w:t>Capture of illiquidity premium</w:t>
      </w:r>
    </w:p>
    <w:p w:rsidR="00E70F7B" w:rsidRDefault="00E70F7B" w:rsidP="00E70F7B">
      <w:pPr>
        <w:ind w:firstLine="540"/>
        <w:rPr>
          <w:rFonts w:ascii="Trebuchet MS" w:eastAsia="Times New Roman" w:hAnsi="Trebuchet MS"/>
          <w:sz w:val="17"/>
          <w:szCs w:val="17"/>
        </w:rPr>
      </w:pPr>
    </w:p>
    <w:p w:rsidR="00E70F7B" w:rsidRDefault="00E70F7B" w:rsidP="00E70F7B">
      <w:pPr>
        <w:numPr>
          <w:ilvl w:val="0"/>
          <w:numId w:val="5"/>
        </w:numPr>
        <w:rPr>
          <w:rFonts w:ascii="Arial" w:eastAsia="Times New Roman" w:hAnsi="Arial" w:cs="Arial"/>
        </w:rPr>
      </w:pPr>
      <w:r>
        <w:rPr>
          <w:rFonts w:ascii="Arial" w:eastAsia="Times New Roman" w:hAnsi="Arial" w:cs="Arial"/>
        </w:rPr>
        <w:t>The SIC seeks to invest in private investments in the most effective manner possible, balancing returns, risks, liquidity and costs. Almost exclusively held in closed-end funds, private investments are among the longest-term commitments that the SIC makes. As such, diversification across vintage years, strategies, industries, investment types and geographies is important when constructing the private investments portfolio.</w:t>
      </w:r>
      <w:r>
        <w:rPr>
          <w:rFonts w:ascii="Arial" w:eastAsia="Times New Roman" w:hAnsi="Arial" w:cs="Arial"/>
        </w:rPr>
        <w:br/>
      </w:r>
    </w:p>
    <w:p w:rsidR="00E70F7B" w:rsidRDefault="00E70F7B" w:rsidP="00E70F7B">
      <w:pPr>
        <w:numPr>
          <w:ilvl w:val="0"/>
          <w:numId w:val="5"/>
        </w:numPr>
        <w:rPr>
          <w:rFonts w:ascii="Arial" w:eastAsia="Times New Roman" w:hAnsi="Arial" w:cs="Arial"/>
        </w:rPr>
      </w:pPr>
      <w:r>
        <w:rPr>
          <w:rFonts w:ascii="Arial" w:eastAsia="Times New Roman" w:hAnsi="Arial" w:cs="Arial"/>
        </w:rPr>
        <w:t xml:space="preserve">Since private investment funds generally hold a limited number of investments, the SIC seeks a variety of approaches in its private investments portfolio. </w:t>
      </w:r>
      <w:r w:rsidR="00A27634">
        <w:rPr>
          <w:rFonts w:ascii="Arial" w:eastAsia="Times New Roman" w:hAnsi="Arial" w:cs="Arial"/>
        </w:rPr>
        <w:t xml:space="preserve">Exposures will vary based on market conditions and the timing of funds. </w:t>
      </w:r>
      <w:r>
        <w:rPr>
          <w:rFonts w:ascii="Arial" w:eastAsia="Times New Roman" w:hAnsi="Arial" w:cs="Arial"/>
        </w:rPr>
        <w:t xml:space="preserve">Though each fund will pursue its own unique strategy,  private investments can be slotted into </w:t>
      </w:r>
      <w:r w:rsidR="00A27634">
        <w:rPr>
          <w:rFonts w:ascii="Arial" w:eastAsia="Times New Roman" w:hAnsi="Arial" w:cs="Arial"/>
        </w:rPr>
        <w:t xml:space="preserve">some </w:t>
      </w:r>
      <w:r>
        <w:rPr>
          <w:rFonts w:ascii="Arial" w:eastAsia="Times New Roman" w:hAnsi="Arial" w:cs="Arial"/>
        </w:rPr>
        <w:t>basic classifications:</w:t>
      </w:r>
    </w:p>
    <w:p w:rsidR="00E70F7B" w:rsidRDefault="00E70F7B" w:rsidP="00E70F7B">
      <w:pPr>
        <w:numPr>
          <w:ilvl w:val="1"/>
          <w:numId w:val="5"/>
        </w:numPr>
        <w:rPr>
          <w:rFonts w:ascii="Arial" w:eastAsia="Times New Roman" w:hAnsi="Arial" w:cs="Arial"/>
        </w:rPr>
      </w:pPr>
      <w:r>
        <w:rPr>
          <w:rFonts w:ascii="Arial" w:eastAsia="Times New Roman" w:hAnsi="Arial" w:cs="Arial"/>
          <w:b/>
          <w:bCs/>
        </w:rPr>
        <w:lastRenderedPageBreak/>
        <w:t>Buy-out</w:t>
      </w:r>
      <w:r>
        <w:rPr>
          <w:rFonts w:ascii="Arial" w:eastAsia="Times New Roman" w:hAnsi="Arial" w:cs="Arial"/>
        </w:rPr>
        <w:t xml:space="preserve"> – Capture returns by purchasing companies (either majority share or a minority stake with significant control rights), holding it for a period of year</w:t>
      </w:r>
      <w:r w:rsidR="00034E8F">
        <w:rPr>
          <w:rFonts w:ascii="Arial" w:eastAsia="Times New Roman" w:hAnsi="Arial" w:cs="Arial"/>
        </w:rPr>
        <w:t>s</w:t>
      </w:r>
      <w:r>
        <w:rPr>
          <w:rFonts w:ascii="Arial" w:eastAsia="Times New Roman" w:hAnsi="Arial" w:cs="Arial"/>
        </w:rPr>
        <w:t>, and then selling it. Value is generated through a combination of buying inexpensively, improving the growth and profitability of the business, using financial leverage, and selling effectively. </w:t>
      </w:r>
    </w:p>
    <w:p w:rsidR="00E70F7B" w:rsidRDefault="00E70F7B" w:rsidP="00E70F7B">
      <w:pPr>
        <w:numPr>
          <w:ilvl w:val="1"/>
          <w:numId w:val="5"/>
        </w:numPr>
        <w:rPr>
          <w:rFonts w:ascii="Arial" w:eastAsia="Times New Roman" w:hAnsi="Arial" w:cs="Arial"/>
        </w:rPr>
      </w:pPr>
      <w:r>
        <w:rPr>
          <w:rFonts w:ascii="Arial" w:eastAsia="Times New Roman" w:hAnsi="Arial" w:cs="Arial"/>
          <w:b/>
          <w:bCs/>
        </w:rPr>
        <w:t>Growth equity</w:t>
      </w:r>
      <w:r>
        <w:rPr>
          <w:rFonts w:ascii="Arial" w:eastAsia="Times New Roman" w:hAnsi="Arial" w:cs="Arial"/>
        </w:rPr>
        <w:t xml:space="preserve"> — Capture returns by investing in fast-growing, established companies typically through minority stakes. The companies generate value by deploying the capital to accelerate the expansion of their businesses. </w:t>
      </w:r>
    </w:p>
    <w:p w:rsidR="00E70F7B" w:rsidRDefault="00E70F7B" w:rsidP="00E70F7B">
      <w:pPr>
        <w:numPr>
          <w:ilvl w:val="1"/>
          <w:numId w:val="5"/>
        </w:numPr>
        <w:rPr>
          <w:rFonts w:ascii="Arial" w:eastAsia="Times New Roman" w:hAnsi="Arial" w:cs="Arial"/>
        </w:rPr>
      </w:pPr>
      <w:r>
        <w:rPr>
          <w:rFonts w:ascii="Arial" w:eastAsia="Times New Roman" w:hAnsi="Arial" w:cs="Arial"/>
          <w:b/>
          <w:bCs/>
        </w:rPr>
        <w:t>Venture capital</w:t>
      </w:r>
      <w:r>
        <w:rPr>
          <w:rFonts w:ascii="Arial" w:eastAsia="Times New Roman" w:hAnsi="Arial" w:cs="Arial"/>
        </w:rPr>
        <w:t xml:space="preserve"> — Participating in the value creation of start-ups, venture capital typically invests in management teams as they develop new businesses. Investments are typically minority stakes, and can span from early stage (pre-revenue) to late stage (young but established businesses). </w:t>
      </w:r>
    </w:p>
    <w:p w:rsidR="00E70F7B" w:rsidRDefault="00E70F7B" w:rsidP="00E70F7B">
      <w:pPr>
        <w:numPr>
          <w:ilvl w:val="1"/>
          <w:numId w:val="5"/>
        </w:numPr>
        <w:rPr>
          <w:rFonts w:ascii="Arial" w:eastAsia="Times New Roman" w:hAnsi="Arial" w:cs="Arial"/>
        </w:rPr>
      </w:pPr>
      <w:r>
        <w:rPr>
          <w:rFonts w:ascii="Arial" w:eastAsia="Times New Roman" w:hAnsi="Arial" w:cs="Arial"/>
          <w:b/>
          <w:bCs/>
        </w:rPr>
        <w:t>Private debt</w:t>
      </w:r>
      <w:r w:rsidR="00A27634">
        <w:rPr>
          <w:rFonts w:ascii="Arial" w:eastAsia="Times New Roman" w:hAnsi="Arial" w:cs="Arial"/>
          <w:b/>
          <w:bCs/>
        </w:rPr>
        <w:t>, including mezzanine and distressed</w:t>
      </w:r>
      <w:r>
        <w:rPr>
          <w:rFonts w:ascii="Arial" w:eastAsia="Times New Roman" w:hAnsi="Arial" w:cs="Arial"/>
        </w:rPr>
        <w:t xml:space="preserve"> — Capture returns through privately negotiated, idiosyncratic fixed-income securities. Private debt typically has higher returns than publicly traded fixed income</w:t>
      </w:r>
      <w:r w:rsidR="00A27634">
        <w:rPr>
          <w:rFonts w:ascii="Arial" w:eastAsia="Times New Roman" w:hAnsi="Arial" w:cs="Arial"/>
        </w:rPr>
        <w:t xml:space="preserve"> as compensation</w:t>
      </w:r>
      <w:r>
        <w:rPr>
          <w:rFonts w:ascii="Arial" w:eastAsia="Times New Roman" w:hAnsi="Arial" w:cs="Arial"/>
        </w:rPr>
        <w:t xml:space="preserve"> for the lack of liquidity</w:t>
      </w:r>
      <w:r w:rsidR="00A27634">
        <w:rPr>
          <w:rFonts w:ascii="Arial" w:eastAsia="Times New Roman" w:hAnsi="Arial" w:cs="Arial"/>
        </w:rPr>
        <w:t xml:space="preserve"> and often more complex situations</w:t>
      </w:r>
      <w:r>
        <w:rPr>
          <w:rFonts w:ascii="Arial" w:eastAsia="Times New Roman" w:hAnsi="Arial" w:cs="Arial"/>
        </w:rPr>
        <w:t xml:space="preserve">. </w:t>
      </w:r>
      <w:r w:rsidR="00A27634">
        <w:rPr>
          <w:rFonts w:ascii="Arial" w:eastAsia="Times New Roman" w:hAnsi="Arial" w:cs="Arial"/>
        </w:rPr>
        <w:t>Though r</w:t>
      </w:r>
      <w:r>
        <w:rPr>
          <w:rFonts w:ascii="Arial" w:eastAsia="Times New Roman" w:hAnsi="Arial" w:cs="Arial"/>
        </w:rPr>
        <w:t xml:space="preserve">eturns </w:t>
      </w:r>
      <w:r w:rsidR="00A27634">
        <w:rPr>
          <w:rFonts w:ascii="Arial" w:eastAsia="Times New Roman" w:hAnsi="Arial" w:cs="Arial"/>
        </w:rPr>
        <w:t>on performing private debt can be</w:t>
      </w:r>
      <w:r>
        <w:rPr>
          <w:rFonts w:ascii="Arial" w:eastAsia="Times New Roman" w:hAnsi="Arial" w:cs="Arial"/>
        </w:rPr>
        <w:t xml:space="preserve"> lower than those of private equity, faster and more likely return</w:t>
      </w:r>
      <w:r w:rsidR="00A27634">
        <w:rPr>
          <w:rFonts w:ascii="Arial" w:eastAsia="Times New Roman" w:hAnsi="Arial" w:cs="Arial"/>
        </w:rPr>
        <w:t>s</w:t>
      </w:r>
      <w:r>
        <w:rPr>
          <w:rFonts w:ascii="Arial" w:eastAsia="Times New Roman" w:hAnsi="Arial" w:cs="Arial"/>
        </w:rPr>
        <w:t xml:space="preserve"> of capital produc</w:t>
      </w:r>
      <w:r w:rsidR="00A27634">
        <w:rPr>
          <w:rFonts w:ascii="Arial" w:eastAsia="Times New Roman" w:hAnsi="Arial" w:cs="Arial"/>
        </w:rPr>
        <w:t>e</w:t>
      </w:r>
      <w:r>
        <w:rPr>
          <w:rFonts w:ascii="Arial" w:eastAsia="Times New Roman" w:hAnsi="Arial" w:cs="Arial"/>
        </w:rPr>
        <w:t xml:space="preserve"> an attractive risk-adjusted return. </w:t>
      </w:r>
      <w:r w:rsidR="00A27634">
        <w:rPr>
          <w:rFonts w:ascii="Arial" w:eastAsia="Times New Roman" w:hAnsi="Arial" w:cs="Arial"/>
        </w:rPr>
        <w:t>Distressed debt has return profiles similar to private equity.</w:t>
      </w:r>
    </w:p>
    <w:p w:rsidR="00E70F7B" w:rsidRDefault="00E70F7B" w:rsidP="00E70F7B">
      <w:pPr>
        <w:numPr>
          <w:ilvl w:val="1"/>
          <w:numId w:val="5"/>
        </w:numPr>
        <w:rPr>
          <w:rFonts w:ascii="Arial" w:eastAsia="Times New Roman" w:hAnsi="Arial" w:cs="Arial"/>
        </w:rPr>
      </w:pPr>
      <w:r>
        <w:rPr>
          <w:rFonts w:ascii="Arial" w:eastAsia="Times New Roman" w:hAnsi="Arial" w:cs="Arial"/>
          <w:b/>
          <w:bCs/>
        </w:rPr>
        <w:t>Secondary funds</w:t>
      </w:r>
      <w:r>
        <w:rPr>
          <w:rFonts w:ascii="Arial" w:eastAsia="Times New Roman" w:hAnsi="Arial" w:cs="Arial"/>
        </w:rPr>
        <w:t xml:space="preserve"> — Capture returns through purchases of other limited partners’ stakes in private equity funds, which are typically sold at a discount due to the funds’ illiquidity. </w:t>
      </w:r>
    </w:p>
    <w:p w:rsidR="00E70F7B" w:rsidRDefault="00E70F7B" w:rsidP="00E70F7B">
      <w:pPr>
        <w:numPr>
          <w:ilvl w:val="1"/>
          <w:numId w:val="5"/>
        </w:numPr>
        <w:rPr>
          <w:rFonts w:ascii="Arial" w:eastAsia="Times New Roman" w:hAnsi="Arial" w:cs="Arial"/>
        </w:rPr>
      </w:pPr>
      <w:r>
        <w:rPr>
          <w:rFonts w:ascii="Arial" w:eastAsia="Times New Roman" w:hAnsi="Arial" w:cs="Arial"/>
          <w:b/>
          <w:bCs/>
        </w:rPr>
        <w:t>Other</w:t>
      </w:r>
      <w:r>
        <w:rPr>
          <w:rFonts w:ascii="Arial" w:eastAsia="Times New Roman" w:hAnsi="Arial" w:cs="Arial"/>
        </w:rPr>
        <w:t xml:space="preserve"> — Given the idiosyncratic nature of private investments and the goal to capture returns, the SIC will consider new and evolving strategies as long as the risk/return characteristics seem favorable.</w:t>
      </w:r>
      <w:r>
        <w:rPr>
          <w:rFonts w:ascii="Arial" w:eastAsia="Times New Roman" w:hAnsi="Arial" w:cs="Arial"/>
        </w:rPr>
        <w:br/>
      </w:r>
    </w:p>
    <w:p w:rsidR="00E70F7B" w:rsidRDefault="00E70F7B" w:rsidP="00E70F7B">
      <w:pPr>
        <w:numPr>
          <w:ilvl w:val="0"/>
          <w:numId w:val="5"/>
        </w:numPr>
        <w:rPr>
          <w:rFonts w:ascii="Arial" w:eastAsia="Times New Roman" w:hAnsi="Arial" w:cs="Arial"/>
        </w:rPr>
      </w:pPr>
      <w:r>
        <w:rPr>
          <w:rFonts w:ascii="Arial" w:eastAsia="Times New Roman" w:hAnsi="Arial" w:cs="Arial"/>
        </w:rPr>
        <w:t xml:space="preserve">Private investment funds are typically closed-end vehicles, meaning that </w:t>
      </w:r>
      <w:r w:rsidR="00034E8F">
        <w:rPr>
          <w:rFonts w:ascii="Arial" w:eastAsia="Times New Roman" w:hAnsi="Arial" w:cs="Arial"/>
        </w:rPr>
        <w:t xml:space="preserve">the </w:t>
      </w:r>
      <w:r>
        <w:rPr>
          <w:rFonts w:ascii="Arial" w:eastAsia="Times New Roman" w:hAnsi="Arial" w:cs="Arial"/>
        </w:rPr>
        <w:t xml:space="preserve">purchase and sale of investments typically happen within a limited period. Market conditions during those defined times can have a meaningful impact on the success of a fund and the years that elapse between commitment to a fund and its conclusion make it difficult to predict market conditions. As a result, the SIC seeks to invest in private investment funds in a consistent, </w:t>
      </w:r>
      <w:r w:rsidR="00352A90">
        <w:rPr>
          <w:rFonts w:ascii="Arial" w:eastAsia="Times New Roman" w:hAnsi="Arial" w:cs="Arial"/>
        </w:rPr>
        <w:t>steady</w:t>
      </w:r>
      <w:r>
        <w:rPr>
          <w:rFonts w:ascii="Arial" w:eastAsia="Times New Roman" w:hAnsi="Arial" w:cs="Arial"/>
        </w:rPr>
        <w:t xml:space="preserve"> manner, ensuring vintage-year diversification. </w:t>
      </w:r>
    </w:p>
    <w:p w:rsidR="00E70F7B" w:rsidRDefault="00E70F7B" w:rsidP="00E70F7B">
      <w:pPr>
        <w:rPr>
          <w:rFonts w:ascii="Arial" w:eastAsia="Times New Roman" w:hAnsi="Arial" w:cs="Arial"/>
        </w:rPr>
      </w:pPr>
    </w:p>
    <w:p w:rsidR="00E70F7B" w:rsidRDefault="00E70F7B" w:rsidP="00E70F7B">
      <w:pPr>
        <w:numPr>
          <w:ilvl w:val="0"/>
          <w:numId w:val="6"/>
        </w:numPr>
        <w:rPr>
          <w:rFonts w:ascii="Arial" w:eastAsia="Times New Roman" w:hAnsi="Arial" w:cs="Arial"/>
        </w:rPr>
      </w:pPr>
      <w:r>
        <w:rPr>
          <w:rFonts w:ascii="Arial" w:eastAsia="Times New Roman" w:hAnsi="Arial" w:cs="Arial"/>
        </w:rPr>
        <w:t>Private investments, other than when they are bought and sold, do not have market-based valuations. Instead interim values are based on appraisals and other derived valuations that are typically smoother than public market valuations. As long-only investments, often carrying substantial debt, privates are among the riskiest of the SIC’s investments, even if the valuation methodology makes the volatility difficult to observe. </w:t>
      </w:r>
    </w:p>
    <w:p w:rsidR="00E70F7B" w:rsidRDefault="00E70F7B" w:rsidP="00E70F7B">
      <w:pPr>
        <w:rPr>
          <w:rFonts w:ascii="Arial" w:eastAsia="Times New Roman" w:hAnsi="Arial" w:cs="Arial"/>
        </w:rPr>
      </w:pPr>
    </w:p>
    <w:p w:rsidR="00E70F7B" w:rsidRDefault="00E70F7B" w:rsidP="00E70F7B">
      <w:pPr>
        <w:numPr>
          <w:ilvl w:val="0"/>
          <w:numId w:val="7"/>
        </w:numPr>
        <w:rPr>
          <w:rFonts w:ascii="Arial" w:eastAsia="Times New Roman" w:hAnsi="Arial" w:cs="Arial"/>
        </w:rPr>
      </w:pPr>
      <w:r>
        <w:rPr>
          <w:rFonts w:ascii="Arial" w:eastAsia="Times New Roman" w:hAnsi="Arial" w:cs="Arial"/>
        </w:rPr>
        <w:t xml:space="preserve">Given the </w:t>
      </w:r>
      <w:r w:rsidR="00A27634">
        <w:rPr>
          <w:rFonts w:ascii="Arial" w:eastAsia="Times New Roman" w:hAnsi="Arial" w:cs="Arial"/>
        </w:rPr>
        <w:t>inconsistent</w:t>
      </w:r>
      <w:r>
        <w:rPr>
          <w:rFonts w:ascii="Arial" w:eastAsia="Times New Roman" w:hAnsi="Arial" w:cs="Arial"/>
        </w:rPr>
        <w:t xml:space="preserve"> nature of private investments — opportunities to invest are episodic as are return of capital — portfolio weights can diverge substantially </w:t>
      </w:r>
      <w:r>
        <w:rPr>
          <w:rFonts w:ascii="Arial" w:eastAsia="Times New Roman" w:hAnsi="Arial" w:cs="Arial"/>
        </w:rPr>
        <w:lastRenderedPageBreak/>
        <w:t>from the policy allocation. In these periods, allocations are often held in public equity, due to the asset class’s liquidity and ease of access.</w:t>
      </w:r>
      <w:r w:rsidR="00A27634">
        <w:rPr>
          <w:rFonts w:ascii="Arial" w:eastAsia="Times New Roman" w:hAnsi="Arial" w:cs="Arial"/>
        </w:rPr>
        <w:br/>
      </w:r>
    </w:p>
    <w:p w:rsidR="00E70F7B" w:rsidRDefault="00E70F7B" w:rsidP="00E70F7B">
      <w:pPr>
        <w:numPr>
          <w:ilvl w:val="0"/>
          <w:numId w:val="7"/>
        </w:numPr>
        <w:rPr>
          <w:rFonts w:ascii="Arial" w:eastAsia="Times New Roman" w:hAnsi="Arial" w:cs="Arial"/>
        </w:rPr>
      </w:pPr>
      <w:r>
        <w:rPr>
          <w:rFonts w:ascii="Arial" w:eastAsia="Times New Roman" w:hAnsi="Arial" w:cs="Arial"/>
        </w:rPr>
        <w:t>The goal of the private investments portfolio is to maximize returns for the capital deployed. At times, the SIC may determine that the sale of a stake in a private investment fund, even at a discount to the stated valuation, achieves the goal of maximizing performance, particularly if the capital can be redeployed in investments with higher expected returns. </w:t>
      </w:r>
    </w:p>
    <w:p w:rsidR="00E70F7B" w:rsidRDefault="00E70F7B" w:rsidP="00E70F7B">
      <w:pPr>
        <w:rPr>
          <w:rFonts w:ascii="Arial" w:eastAsia="Times New Roman" w:hAnsi="Arial" w:cs="Arial"/>
        </w:rPr>
      </w:pPr>
    </w:p>
    <w:p w:rsidR="00E70F7B" w:rsidRDefault="00E70F7B" w:rsidP="00E70F7B">
      <w:pPr>
        <w:spacing w:after="150"/>
        <w:rPr>
          <w:rFonts w:ascii="Trebuchet MS" w:hAnsi="Trebuchet MS"/>
          <w:sz w:val="17"/>
          <w:szCs w:val="17"/>
        </w:rPr>
      </w:pPr>
    </w:p>
    <w:p w:rsidR="00E70F7B" w:rsidRDefault="00E70F7B" w:rsidP="00E70F7B">
      <w:pPr>
        <w:rPr>
          <w:rFonts w:ascii="Arial" w:eastAsia="Times New Roman" w:hAnsi="Arial" w:cs="Arial"/>
        </w:rPr>
      </w:pPr>
      <w:r>
        <w:rPr>
          <w:rFonts w:ascii="Arial" w:eastAsia="Times New Roman" w:hAnsi="Arial" w:cs="Arial"/>
        </w:rPr>
        <w:t>As of September 30, 2015, the policy allocation to Private Investments is 7%.</w:t>
      </w:r>
    </w:p>
    <w:p w:rsidR="00E70F7B" w:rsidRDefault="00E70F7B" w:rsidP="00E70F7B">
      <w:pPr>
        <w:jc w:val="both"/>
        <w:rPr>
          <w:rFonts w:ascii="Arial" w:eastAsia="Times New Roman" w:hAnsi="Arial" w:cs="Arial"/>
          <w:sz w:val="17"/>
          <w:szCs w:val="17"/>
        </w:rPr>
      </w:pP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pPr>
        <w:spacing w:after="200" w:line="276" w:lineRule="auto"/>
        <w:rPr>
          <w:rFonts w:ascii="Arial" w:eastAsia="Times New Roman" w:hAnsi="Arial" w:cs="Arial"/>
          <w:b/>
          <w:bCs/>
        </w:rPr>
      </w:pPr>
      <w:r>
        <w:rPr>
          <w:rFonts w:ascii="Arial" w:eastAsia="Times New Roman" w:hAnsi="Arial" w:cs="Arial"/>
          <w:b/>
          <w:bCs/>
        </w:rPr>
        <w:br w:type="page"/>
      </w:r>
    </w:p>
    <w:p w:rsidR="00E70F7B" w:rsidRDefault="00E70F7B" w:rsidP="00E70F7B">
      <w:pPr>
        <w:rPr>
          <w:rFonts w:ascii="Arial" w:eastAsia="Times New Roman" w:hAnsi="Arial" w:cs="Arial"/>
        </w:rPr>
      </w:pPr>
      <w:r>
        <w:rPr>
          <w:rFonts w:ascii="Arial" w:eastAsia="Times New Roman" w:hAnsi="Arial" w:cs="Arial"/>
          <w:b/>
          <w:bCs/>
        </w:rPr>
        <w:lastRenderedPageBreak/>
        <w:t>Absolute Return Hedge Fund Allocation</w:t>
      </w:r>
      <w:r>
        <w:rPr>
          <w:rStyle w:val="apple-tab-span"/>
          <w:rFonts w:ascii="Arial" w:eastAsia="Times New Roman" w:hAnsi="Arial" w:cs="Arial"/>
          <w:b/>
          <w:bCs/>
        </w:rPr>
        <w:tab/>
      </w:r>
    </w:p>
    <w:p w:rsidR="00E70F7B" w:rsidRDefault="00E70F7B" w:rsidP="00E70F7B">
      <w:pPr>
        <w:rPr>
          <w:rFonts w:ascii="Arial" w:eastAsia="Times New Roman" w:hAnsi="Arial" w:cs="Arial"/>
        </w:rPr>
      </w:pPr>
      <w:r>
        <w:rPr>
          <w:rFonts w:ascii="Arial" w:eastAsia="Times New Roman" w:hAnsi="Arial" w:cs="Arial"/>
        </w:rPr>
        <w:t>Absolute return hedge funds seek to generate performance through</w:t>
      </w:r>
      <w:r w:rsidR="00034E8F">
        <w:rPr>
          <w:rFonts w:ascii="Arial" w:eastAsia="Times New Roman" w:hAnsi="Arial" w:cs="Arial"/>
        </w:rPr>
        <w:t xml:space="preserve"> active</w:t>
      </w:r>
      <w:r>
        <w:rPr>
          <w:rFonts w:ascii="Arial" w:eastAsia="Times New Roman" w:hAnsi="Arial" w:cs="Arial"/>
        </w:rPr>
        <w:t xml:space="preserve"> </w:t>
      </w:r>
      <w:r w:rsidR="00034E8F">
        <w:rPr>
          <w:rFonts w:ascii="Arial" w:eastAsia="Times New Roman" w:hAnsi="Arial" w:cs="Arial"/>
        </w:rPr>
        <w:t>selection of securities</w:t>
      </w:r>
      <w:r>
        <w:rPr>
          <w:rFonts w:ascii="Arial" w:eastAsia="Times New Roman" w:hAnsi="Arial" w:cs="Arial"/>
        </w:rPr>
        <w:t xml:space="preserve"> and asset class</w:t>
      </w:r>
      <w:r w:rsidR="00034E8F">
        <w:rPr>
          <w:rFonts w:ascii="Arial" w:eastAsia="Times New Roman" w:hAnsi="Arial" w:cs="Arial"/>
        </w:rPr>
        <w:t>es</w:t>
      </w:r>
      <w:r>
        <w:rPr>
          <w:rFonts w:ascii="Arial" w:eastAsia="Times New Roman" w:hAnsi="Arial" w:cs="Arial"/>
        </w:rPr>
        <w:t xml:space="preserve">, with little-to-no consistent </w:t>
      </w:r>
      <w:r w:rsidR="00665F41">
        <w:rPr>
          <w:rFonts w:ascii="Arial" w:eastAsia="Times New Roman" w:hAnsi="Arial" w:cs="Arial"/>
        </w:rPr>
        <w:t>bias</w:t>
      </w:r>
      <w:r>
        <w:rPr>
          <w:rFonts w:ascii="Arial" w:eastAsia="Times New Roman" w:hAnsi="Arial" w:cs="Arial"/>
        </w:rPr>
        <w:t xml:space="preserve"> to broad markets (a.k.a. beta). Investing in a broad range of securities from equities and fixed income to commodities, convertibles, currency and derivatives, absolute return funds serve as diversifiers, seeking returns from active investment decisions, both long and short (a.k.a. alpha). Since returns are driven primarily by manager decisions, the allocation is actively managed.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 xml:space="preserve">Taking less </w:t>
      </w:r>
      <w:r w:rsidR="00E55252">
        <w:rPr>
          <w:rFonts w:ascii="Arial" w:eastAsia="Times New Roman" w:hAnsi="Arial" w:cs="Arial"/>
        </w:rPr>
        <w:t xml:space="preserve">consistent </w:t>
      </w:r>
      <w:r>
        <w:rPr>
          <w:rFonts w:ascii="Arial" w:eastAsia="Times New Roman" w:hAnsi="Arial" w:cs="Arial"/>
        </w:rPr>
        <w:t>market risk</w:t>
      </w:r>
      <w:r w:rsidR="00E55252">
        <w:rPr>
          <w:rFonts w:ascii="Arial" w:eastAsia="Times New Roman" w:hAnsi="Arial" w:cs="Arial"/>
        </w:rPr>
        <w:t>s</w:t>
      </w:r>
      <w:r>
        <w:rPr>
          <w:rFonts w:ascii="Arial" w:eastAsia="Times New Roman" w:hAnsi="Arial" w:cs="Arial"/>
        </w:rPr>
        <w:t>, the allocation is expected to generate steadier and lower returns than other allocations, particularly those with exposure to the equity markets. With less volatility, the absolute return hedge fund allocation is expected to be more efficient (higher return per unit of return volatility).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HFRI Fund of Funds index serves as the benchmark. Since the index has more equity market exposure (beta) than the SIC’s portfolio, it is to be expected that the allocation will trail the benchmark when equity markets are strong and outperform when they are weak. Over the long term, the allocation is expected to match or outperform the HFRI Fund of Funds index.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i/>
          <w:iCs/>
        </w:rPr>
        <w:t>SIC Investment Philosophy -  Absolute Return Hedge Funds</w:t>
      </w:r>
    </w:p>
    <w:p w:rsidR="00E70F7B" w:rsidRDefault="00E70F7B" w:rsidP="00E70F7B">
      <w:pPr>
        <w:rPr>
          <w:rFonts w:ascii="Arial" w:eastAsia="Times New Roman" w:hAnsi="Arial" w:cs="Arial"/>
        </w:rPr>
      </w:pPr>
    </w:p>
    <w:p w:rsidR="00E70F7B" w:rsidRDefault="00E70F7B" w:rsidP="00E70F7B">
      <w:pPr>
        <w:numPr>
          <w:ilvl w:val="0"/>
          <w:numId w:val="8"/>
        </w:numPr>
        <w:rPr>
          <w:rFonts w:ascii="Arial" w:eastAsia="Times New Roman" w:hAnsi="Arial" w:cs="Arial"/>
        </w:rPr>
      </w:pPr>
      <w:r>
        <w:rPr>
          <w:rFonts w:ascii="Arial" w:eastAsia="Times New Roman" w:hAnsi="Arial" w:cs="Arial"/>
        </w:rPr>
        <w:t>The SIC is a long-term investor in absolute return hedge funds, seeking solid returns and limited volatility over a full market cycle.  </w:t>
      </w:r>
    </w:p>
    <w:p w:rsidR="00E70F7B" w:rsidRDefault="00E70F7B" w:rsidP="00E70F7B">
      <w:pPr>
        <w:rPr>
          <w:rFonts w:ascii="Arial" w:eastAsia="Times New Roman" w:hAnsi="Arial" w:cs="Arial"/>
        </w:rPr>
      </w:pPr>
    </w:p>
    <w:p w:rsidR="00E70F7B" w:rsidRDefault="00352A90" w:rsidP="00E70F7B">
      <w:pPr>
        <w:numPr>
          <w:ilvl w:val="0"/>
          <w:numId w:val="9"/>
        </w:numPr>
        <w:rPr>
          <w:rFonts w:ascii="Arial" w:eastAsia="Times New Roman" w:hAnsi="Arial" w:cs="Arial"/>
        </w:rPr>
      </w:pPr>
      <w:r>
        <w:rPr>
          <w:rFonts w:ascii="Arial" w:eastAsia="Times New Roman" w:hAnsi="Arial" w:cs="Arial"/>
        </w:rPr>
        <w:t>Absolute return</w:t>
      </w:r>
      <w:r w:rsidR="00E70F7B">
        <w:rPr>
          <w:rFonts w:ascii="Arial" w:eastAsia="Times New Roman" w:hAnsi="Arial" w:cs="Arial"/>
        </w:rPr>
        <w:t xml:space="preserve"> hedge funds play the following roles for the total portfolio:</w:t>
      </w:r>
    </w:p>
    <w:p w:rsidR="00E70F7B" w:rsidRDefault="00E70F7B" w:rsidP="00E70F7B">
      <w:pPr>
        <w:numPr>
          <w:ilvl w:val="1"/>
          <w:numId w:val="9"/>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9"/>
        </w:numPr>
        <w:rPr>
          <w:rFonts w:ascii="Arial" w:eastAsia="Times New Roman" w:hAnsi="Arial" w:cs="Arial"/>
        </w:rPr>
      </w:pPr>
      <w:r>
        <w:rPr>
          <w:rFonts w:ascii="Arial" w:eastAsia="Times New Roman" w:hAnsi="Arial" w:cs="Arial"/>
        </w:rPr>
        <w:t>Alpha capture </w:t>
      </w:r>
    </w:p>
    <w:p w:rsidR="00E70F7B" w:rsidRDefault="00E70F7B" w:rsidP="00E70F7B">
      <w:pPr>
        <w:numPr>
          <w:ilvl w:val="1"/>
          <w:numId w:val="9"/>
        </w:numPr>
        <w:rPr>
          <w:rFonts w:ascii="Arial" w:eastAsia="Times New Roman" w:hAnsi="Arial" w:cs="Arial"/>
        </w:rPr>
      </w:pPr>
      <w:r>
        <w:rPr>
          <w:rFonts w:ascii="Arial" w:eastAsia="Times New Roman" w:hAnsi="Arial" w:cs="Arial"/>
        </w:rPr>
        <w:t>Risk mitigation</w:t>
      </w:r>
    </w:p>
    <w:p w:rsidR="00E70F7B" w:rsidRDefault="00E70F7B" w:rsidP="00E70F7B">
      <w:pPr>
        <w:numPr>
          <w:ilvl w:val="1"/>
          <w:numId w:val="9"/>
        </w:numPr>
        <w:rPr>
          <w:rFonts w:ascii="Arial" w:eastAsia="Times New Roman" w:hAnsi="Arial" w:cs="Arial"/>
        </w:rPr>
      </w:pPr>
      <w:r>
        <w:rPr>
          <w:rFonts w:ascii="Arial" w:eastAsia="Times New Roman" w:hAnsi="Arial" w:cs="Arial"/>
        </w:rPr>
        <w:t xml:space="preserve">Moderate liquidity </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Accessing alpha, or idiosyncratic returns, from security selection is the role of the absolute return hedge fund allocation. Hedge funds have broad mandates and the SIC expects managers to take ownership of all decisions associated with its investments. Long-term, net-of-fees returns and future return potential are the metrics on which the SIC assesses hedge fund investments.</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Since r</w:t>
      </w:r>
      <w:r w:rsidR="00641C7A">
        <w:rPr>
          <w:rFonts w:ascii="Arial" w:eastAsia="Times New Roman" w:hAnsi="Arial" w:cs="Arial"/>
        </w:rPr>
        <w:t>isk mitigation is a key ro</w:t>
      </w:r>
      <w:r>
        <w:rPr>
          <w:rFonts w:ascii="Arial" w:eastAsia="Times New Roman" w:hAnsi="Arial" w:cs="Arial"/>
        </w:rPr>
        <w:t>l</w:t>
      </w:r>
      <w:r w:rsidR="00641C7A">
        <w:rPr>
          <w:rFonts w:ascii="Arial" w:eastAsia="Times New Roman" w:hAnsi="Arial" w:cs="Arial"/>
        </w:rPr>
        <w:t>e</w:t>
      </w:r>
      <w:r>
        <w:rPr>
          <w:rFonts w:ascii="Arial" w:eastAsia="Times New Roman" w:hAnsi="Arial" w:cs="Arial"/>
        </w:rPr>
        <w:t xml:space="preserve"> of the absolute return hedge fund allocation and the overall portfolio’s largest risk is equity mark</w:t>
      </w:r>
      <w:r w:rsidR="00641C7A">
        <w:rPr>
          <w:rFonts w:ascii="Arial" w:eastAsia="Times New Roman" w:hAnsi="Arial" w:cs="Arial"/>
        </w:rPr>
        <w:t>et exposure</w:t>
      </w:r>
      <w:r>
        <w:rPr>
          <w:rFonts w:ascii="Arial" w:eastAsia="Times New Roman" w:hAnsi="Arial" w:cs="Arial"/>
        </w:rPr>
        <w:t xml:space="preserve">, the SIC seeks to build a portfolio of absolute return hedge funds with minimal equity beta </w:t>
      </w:r>
      <w:r w:rsidR="00641C7A">
        <w:rPr>
          <w:rFonts w:ascii="Arial" w:eastAsia="Times New Roman" w:hAnsi="Arial" w:cs="Arial"/>
        </w:rPr>
        <w:t>(targeting &lt;0.</w:t>
      </w:r>
      <w:r w:rsidR="00641C7A">
        <w:rPr>
          <w:rFonts w:ascii="Arial" w:eastAsia="Times New Roman" w:hAnsi="Arial" w:cs="Arial"/>
        </w:rPr>
        <w:t>4</w:t>
      </w:r>
      <w:r w:rsidR="00641C7A">
        <w:rPr>
          <w:rFonts w:ascii="Arial" w:eastAsia="Times New Roman" w:hAnsi="Arial" w:cs="Arial"/>
        </w:rPr>
        <w:t xml:space="preserve"> collectively across the </w:t>
      </w:r>
      <w:r w:rsidR="00641C7A">
        <w:rPr>
          <w:rFonts w:ascii="Arial" w:eastAsia="Times New Roman" w:hAnsi="Arial" w:cs="Arial"/>
        </w:rPr>
        <w:t>absolute return</w:t>
      </w:r>
      <w:r w:rsidR="00641C7A">
        <w:rPr>
          <w:rFonts w:ascii="Arial" w:eastAsia="Times New Roman" w:hAnsi="Arial" w:cs="Arial"/>
        </w:rPr>
        <w:t xml:space="preserve"> hedge fund allocation).</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The SIC seeks to invest in absolute return hedge funds in the most effective manner possible, balancing returns, risks and costs. Since betas can be achieved more cheaply through long-only vehicles, the SIC selects a portfolio of absolute return hedge funds whose performance is driven by active security-</w:t>
      </w:r>
      <w:r>
        <w:rPr>
          <w:rFonts w:ascii="Arial" w:eastAsia="Times New Roman" w:hAnsi="Arial" w:cs="Arial"/>
        </w:rPr>
        <w:lastRenderedPageBreak/>
        <w:t>selection decisions. Successful active management, particularly for returns uncorrelated with broad markets, is rare and costly. The SIC seeks to hire the best managers and uses performance fee structures to incentivize them. </w:t>
      </w:r>
      <w:r>
        <w:rPr>
          <w:rFonts w:ascii="Arial" w:eastAsia="Times New Roman" w:hAnsi="Arial" w:cs="Arial"/>
        </w:rPr>
        <w:br/>
      </w:r>
      <w:r>
        <w:rPr>
          <w:rFonts w:ascii="Arial" w:eastAsia="Times New Roman" w:hAnsi="Arial" w:cs="Arial"/>
        </w:rPr>
        <w:t xml:space="preserve"> </w:t>
      </w:r>
    </w:p>
    <w:p w:rsidR="00E70F7B" w:rsidRDefault="00E70F7B" w:rsidP="00E70F7B">
      <w:pPr>
        <w:numPr>
          <w:ilvl w:val="0"/>
          <w:numId w:val="9"/>
        </w:numPr>
        <w:rPr>
          <w:rFonts w:ascii="Arial" w:eastAsia="Times New Roman" w:hAnsi="Arial" w:cs="Arial"/>
        </w:rPr>
      </w:pPr>
      <w:r>
        <w:rPr>
          <w:rFonts w:ascii="Arial" w:eastAsia="Times New Roman" w:hAnsi="Arial" w:cs="Arial"/>
        </w:rPr>
        <w:t>Absolute return he</w:t>
      </w:r>
      <w:r w:rsidR="00641C7A">
        <w:rPr>
          <w:rFonts w:ascii="Arial" w:eastAsia="Times New Roman" w:hAnsi="Arial" w:cs="Arial"/>
        </w:rPr>
        <w:t xml:space="preserve">dge funds are generally given </w:t>
      </w:r>
      <w:r>
        <w:rPr>
          <w:rFonts w:ascii="Arial" w:eastAsia="Times New Roman" w:hAnsi="Arial" w:cs="Arial"/>
        </w:rPr>
        <w:t>broad mandate</w:t>
      </w:r>
      <w:r w:rsidR="00641C7A">
        <w:rPr>
          <w:rFonts w:ascii="Arial" w:eastAsia="Times New Roman" w:hAnsi="Arial" w:cs="Arial"/>
        </w:rPr>
        <w:t>s</w:t>
      </w:r>
      <w:r>
        <w:rPr>
          <w:rFonts w:ascii="Arial" w:eastAsia="Times New Roman" w:hAnsi="Arial" w:cs="Arial"/>
        </w:rPr>
        <w:t xml:space="preserve">, with the ability to invest in a wide variety of securities, to manage their market exposure, and to hedge unwanted exposures. While no strategy works in every environment, the SIC holds hedge fund managers to a high bar in terms of using their broad mandates to navigate a wide variety of environments. Assessment of future return potential drives the SIC’s investment decisions. </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Diversification among hedge funds is particularly important, as idiosyncratic decisions drive returns. The SIC seeks to invest with managers that provide diversification to the broader portfolio and to one another. Though each fund will pursue different strategies, many of the absolute return hedge funds can be classified into basic strategies:</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 xml:space="preserve">Credit long/short </w:t>
      </w:r>
      <w:r>
        <w:rPr>
          <w:rFonts w:ascii="Arial" w:eastAsia="Times New Roman" w:hAnsi="Arial" w:cs="Arial"/>
        </w:rPr>
        <w:t>–</w:t>
      </w:r>
      <w:r>
        <w:rPr>
          <w:rFonts w:ascii="Arial" w:eastAsia="Times New Roman" w:hAnsi="Arial" w:cs="Arial"/>
        </w:rPr>
        <w:t xml:space="preserve"> </w:t>
      </w:r>
      <w:r>
        <w:rPr>
          <w:rFonts w:ascii="Arial" w:eastAsia="Times New Roman" w:hAnsi="Arial" w:cs="Arial"/>
        </w:rPr>
        <w:t>Generate returns through sel</w:t>
      </w:r>
      <w:r>
        <w:rPr>
          <w:rFonts w:ascii="Arial" w:eastAsia="Times New Roman" w:hAnsi="Arial" w:cs="Arial"/>
        </w:rPr>
        <w:t xml:space="preserve">ection of individual securities, mostly corporate bonds, </w:t>
      </w:r>
      <w:r>
        <w:rPr>
          <w:rFonts w:ascii="Arial" w:eastAsia="Times New Roman" w:hAnsi="Arial" w:cs="Arial"/>
        </w:rPr>
        <w:t xml:space="preserve">identifying and going long securities that are undervalued and putting on </w:t>
      </w:r>
      <w:r>
        <w:rPr>
          <w:rFonts w:ascii="Arial" w:eastAsia="Times New Roman" w:hAnsi="Arial" w:cs="Arial"/>
        </w:rPr>
        <w:t>bearish</w:t>
      </w:r>
      <w:r>
        <w:rPr>
          <w:rFonts w:ascii="Arial" w:eastAsia="Times New Roman" w:hAnsi="Arial" w:cs="Arial"/>
        </w:rPr>
        <w:t xml:space="preserve"> positions in securities that are overvalued. The balance of longs and shorts is expected to </w:t>
      </w:r>
      <w:r w:rsidR="00641C7A">
        <w:rPr>
          <w:rFonts w:ascii="Arial" w:eastAsia="Times New Roman" w:hAnsi="Arial" w:cs="Arial"/>
        </w:rPr>
        <w:t>insulate</w:t>
      </w:r>
      <w:r>
        <w:rPr>
          <w:rFonts w:ascii="Arial" w:eastAsia="Times New Roman" w:hAnsi="Arial" w:cs="Arial"/>
        </w:rPr>
        <w:t xml:space="preserve"> the portfolio from broad market moves</w:t>
      </w:r>
      <w:r>
        <w:rPr>
          <w:rFonts w:ascii="Arial" w:eastAsia="Times New Roman" w:hAnsi="Arial" w:cs="Arial"/>
        </w:rPr>
        <w:t xml:space="preserve">, with performance based on the </w:t>
      </w:r>
      <w:r w:rsidR="00641C7A">
        <w:rPr>
          <w:rFonts w:ascii="Arial" w:eastAsia="Times New Roman" w:hAnsi="Arial" w:cs="Arial"/>
        </w:rPr>
        <w:t>price move</w:t>
      </w:r>
      <w:r>
        <w:rPr>
          <w:rFonts w:ascii="Arial" w:eastAsia="Times New Roman" w:hAnsi="Arial" w:cs="Arial"/>
        </w:rPr>
        <w:t xml:space="preserve">s of </w:t>
      </w:r>
      <w:r w:rsidR="00641C7A">
        <w:rPr>
          <w:rFonts w:ascii="Arial" w:eastAsia="Times New Roman" w:hAnsi="Arial" w:cs="Arial"/>
        </w:rPr>
        <w:t>individual securities</w:t>
      </w:r>
      <w:r>
        <w:rPr>
          <w:rFonts w:ascii="Arial" w:eastAsia="Times New Roman" w:hAnsi="Arial" w:cs="Arial"/>
        </w:rPr>
        <w:t>.</w:t>
      </w:r>
      <w:r>
        <w:rPr>
          <w:rFonts w:ascii="Arial" w:eastAsia="Times New Roman" w:hAnsi="Arial" w:cs="Arial"/>
        </w:rPr>
        <w:t xml:space="preserve"> </w:t>
      </w:r>
    </w:p>
    <w:p w:rsidR="00E70F7B" w:rsidRDefault="00E70F7B" w:rsidP="00E70F7B">
      <w:pPr>
        <w:numPr>
          <w:ilvl w:val="1"/>
          <w:numId w:val="9"/>
        </w:numPr>
        <w:rPr>
          <w:rFonts w:ascii="Arial" w:eastAsia="Times New Roman" w:hAnsi="Arial" w:cs="Arial"/>
        </w:rPr>
      </w:pPr>
      <w:r>
        <w:rPr>
          <w:rFonts w:ascii="Arial" w:eastAsia="Times New Roman" w:hAnsi="Arial" w:cs="Arial"/>
          <w:b/>
          <w:bCs/>
        </w:rPr>
        <w:t>Macro</w:t>
      </w:r>
      <w:r>
        <w:rPr>
          <w:rFonts w:ascii="Arial" w:eastAsia="Times New Roman" w:hAnsi="Arial" w:cs="Arial"/>
        </w:rPr>
        <w:t xml:space="preserve"> – Generate returns through assessment of macroeconomic trends and selection of securities that will move, either up (long positions) or down (short positions) based on these trends. </w:t>
      </w:r>
      <w:r>
        <w:rPr>
          <w:rFonts w:ascii="Arial" w:eastAsia="Times New Roman" w:hAnsi="Arial" w:cs="Arial"/>
        </w:rPr>
        <w:t xml:space="preserve">Using primarily broad-based instruments, such as equity indexes, government bonds, currencies, and others, macro funds will take varying directional positions </w:t>
      </w:r>
      <w:r w:rsidR="00641C7A">
        <w:rPr>
          <w:rFonts w:ascii="Arial" w:eastAsia="Times New Roman" w:hAnsi="Arial" w:cs="Arial"/>
        </w:rPr>
        <w:t>to capitalize on their views</w:t>
      </w:r>
      <w:r>
        <w:rPr>
          <w:rFonts w:ascii="Arial" w:eastAsia="Times New Roman" w:hAnsi="Arial" w:cs="Arial"/>
        </w:rPr>
        <w:t>.</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Multi-strategy</w:t>
      </w:r>
      <w:r w:rsidRPr="00E70F7B">
        <w:rPr>
          <w:rFonts w:ascii="Arial" w:eastAsia="Times New Roman" w:hAnsi="Arial" w:cs="Arial"/>
        </w:rPr>
        <w:t xml:space="preserve"> </w:t>
      </w:r>
      <w:r>
        <w:rPr>
          <w:rFonts w:ascii="Arial" w:eastAsia="Times New Roman" w:hAnsi="Arial" w:cs="Arial"/>
        </w:rPr>
        <w:t xml:space="preserve">– Generate </w:t>
      </w:r>
      <w:r w:rsidR="000A60BE">
        <w:rPr>
          <w:rFonts w:ascii="Arial" w:eastAsia="Times New Roman" w:hAnsi="Arial" w:cs="Arial"/>
        </w:rPr>
        <w:t xml:space="preserve">returns both through pursuing typical hedge-fund strategies and from actively allocating capital among those strategies. Multi-strategy funds give access to strategies, such as convertible arbitrage, that fluctuate in their attractiveness. </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Relative value</w:t>
      </w:r>
      <w:r w:rsidRPr="00E70F7B">
        <w:rPr>
          <w:rFonts w:ascii="Arial" w:eastAsia="Times New Roman" w:hAnsi="Arial" w:cs="Arial"/>
        </w:rPr>
        <w:t xml:space="preserve"> </w:t>
      </w:r>
      <w:r>
        <w:rPr>
          <w:rFonts w:ascii="Arial" w:eastAsia="Times New Roman" w:hAnsi="Arial" w:cs="Arial"/>
        </w:rPr>
        <w:t xml:space="preserve">– </w:t>
      </w:r>
      <w:r w:rsidR="00352A90">
        <w:rPr>
          <w:rFonts w:ascii="Arial" w:eastAsia="Times New Roman" w:hAnsi="Arial" w:cs="Arial"/>
        </w:rPr>
        <w:t>Generate returns</w:t>
      </w:r>
      <w:r>
        <w:rPr>
          <w:rFonts w:ascii="Arial" w:eastAsia="Times New Roman" w:hAnsi="Arial" w:cs="Arial"/>
        </w:rPr>
        <w:t xml:space="preserve"> through </w:t>
      </w:r>
      <w:r w:rsidR="000A60BE">
        <w:rPr>
          <w:rFonts w:ascii="Arial" w:eastAsia="Times New Roman" w:hAnsi="Arial" w:cs="Arial"/>
        </w:rPr>
        <w:t xml:space="preserve">capitalizing on small, usually temporary </w:t>
      </w:r>
      <w:r w:rsidR="00352A90">
        <w:rPr>
          <w:rFonts w:ascii="Arial" w:eastAsia="Times New Roman" w:hAnsi="Arial" w:cs="Arial"/>
        </w:rPr>
        <w:t xml:space="preserve">price </w:t>
      </w:r>
      <w:r w:rsidR="000A60BE">
        <w:rPr>
          <w:rFonts w:ascii="Arial" w:eastAsia="Times New Roman" w:hAnsi="Arial" w:cs="Arial"/>
        </w:rPr>
        <w:t>discrepancies between similar securities. By pairing a long position in an undervalued</w:t>
      </w:r>
      <w:r w:rsidR="00034E8F">
        <w:rPr>
          <w:rFonts w:ascii="Arial" w:eastAsia="Times New Roman" w:hAnsi="Arial" w:cs="Arial"/>
        </w:rPr>
        <w:t xml:space="preserve"> security</w:t>
      </w:r>
      <w:r w:rsidR="000A60BE">
        <w:rPr>
          <w:rFonts w:ascii="Arial" w:eastAsia="Times New Roman" w:hAnsi="Arial" w:cs="Arial"/>
        </w:rPr>
        <w:t xml:space="preserve"> and a short in a related and overvalued security, relative value funds seek to generate </w:t>
      </w:r>
      <w:r w:rsidR="00352A90">
        <w:rPr>
          <w:rFonts w:ascii="Arial" w:eastAsia="Times New Roman" w:hAnsi="Arial" w:cs="Arial"/>
        </w:rPr>
        <w:t>modest</w:t>
      </w:r>
      <w:bookmarkStart w:id="0" w:name="_GoBack"/>
      <w:bookmarkEnd w:id="0"/>
      <w:r w:rsidR="000A60BE">
        <w:rPr>
          <w:rFonts w:ascii="Arial" w:eastAsia="Times New Roman" w:hAnsi="Arial" w:cs="Arial"/>
        </w:rPr>
        <w:t xml:space="preserve">, consistent returns that compound to meaningful performance over time.  </w:t>
      </w:r>
    </w:p>
    <w:p w:rsidR="00E70F7B" w:rsidRPr="00E70F7B" w:rsidRDefault="00E70F7B" w:rsidP="00E70F7B">
      <w:pPr>
        <w:numPr>
          <w:ilvl w:val="1"/>
          <w:numId w:val="9"/>
        </w:numPr>
        <w:rPr>
          <w:rFonts w:ascii="Arial" w:eastAsia="Times New Roman" w:hAnsi="Arial" w:cs="Arial"/>
        </w:rPr>
      </w:pPr>
      <w:r w:rsidRPr="00E70F7B">
        <w:rPr>
          <w:rFonts w:ascii="Arial" w:eastAsia="Times New Roman" w:hAnsi="Arial" w:cs="Arial"/>
          <w:b/>
          <w:bCs/>
        </w:rPr>
        <w:t>Trend-following</w:t>
      </w:r>
      <w:r w:rsidRPr="00E70F7B">
        <w:rPr>
          <w:rFonts w:ascii="Arial" w:eastAsia="Times New Roman" w:hAnsi="Arial" w:cs="Arial"/>
        </w:rPr>
        <w:t xml:space="preserve"> </w:t>
      </w:r>
      <w:r>
        <w:rPr>
          <w:rFonts w:ascii="Arial" w:eastAsia="Times New Roman" w:hAnsi="Arial" w:cs="Arial"/>
        </w:rPr>
        <w:t>– Generate</w:t>
      </w:r>
      <w:r w:rsidR="000A60BE">
        <w:rPr>
          <w:rFonts w:ascii="Arial" w:eastAsia="Times New Roman" w:hAnsi="Arial" w:cs="Arial"/>
        </w:rPr>
        <w:t xml:space="preserve"> returns by capitalizing on markets’ tendency to continue a price trend (auto-correlate) over the short to medium term. By following trends across a large number of markets, from currencies to commodities to fixed income and equities, trend followers benefit from the </w:t>
      </w:r>
      <w:r w:rsidR="00641C7A">
        <w:rPr>
          <w:rFonts w:ascii="Arial" w:eastAsia="Times New Roman" w:hAnsi="Arial" w:cs="Arial"/>
        </w:rPr>
        <w:t>average</w:t>
      </w:r>
      <w:r w:rsidR="000A60BE">
        <w:rPr>
          <w:rFonts w:ascii="Arial" w:eastAsia="Times New Roman" w:hAnsi="Arial" w:cs="Arial"/>
        </w:rPr>
        <w:t xml:space="preserve"> probability of trends continuing, and diversify away the risk that not every security in every time frame will exhibit this tendency. </w:t>
      </w:r>
      <w:r w:rsidRPr="00E70F7B">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 xml:space="preserve">With its </w:t>
      </w:r>
      <w:r w:rsidR="00A302AD">
        <w:rPr>
          <w:rFonts w:ascii="Arial" w:eastAsia="Times New Roman" w:hAnsi="Arial" w:cs="Arial"/>
        </w:rPr>
        <w:t>absolute return</w:t>
      </w:r>
      <w:r>
        <w:rPr>
          <w:rFonts w:ascii="Arial" w:eastAsia="Times New Roman" w:hAnsi="Arial" w:cs="Arial"/>
        </w:rPr>
        <w:t xml:space="preserve"> hedge funds, the SIC accepts longer lock-ups and less frequent opportunities to redeem. This moderate liquidity is expected to provide </w:t>
      </w:r>
      <w:r>
        <w:rPr>
          <w:rFonts w:ascii="Arial" w:eastAsia="Times New Roman" w:hAnsi="Arial" w:cs="Arial"/>
        </w:rPr>
        <w:lastRenderedPageBreak/>
        <w:t xml:space="preserve">hedge fund managers with a longer time horizon over which to execute their strategies. The idiosyncratic returns from security selection are expected over the long term to produce </w:t>
      </w:r>
      <w:r w:rsidR="00A302AD">
        <w:rPr>
          <w:rFonts w:ascii="Arial" w:eastAsia="Times New Roman" w:hAnsi="Arial" w:cs="Arial"/>
        </w:rPr>
        <w:t>solid</w:t>
      </w:r>
      <w:r>
        <w:rPr>
          <w:rFonts w:ascii="Arial" w:eastAsia="Times New Roman" w:hAnsi="Arial" w:cs="Arial"/>
        </w:rPr>
        <w:t xml:space="preserve"> returns with less volatility</w:t>
      </w:r>
      <w:r w:rsidR="00A302AD">
        <w:rPr>
          <w:rFonts w:ascii="Arial" w:eastAsia="Times New Roman" w:hAnsi="Arial" w:cs="Arial"/>
        </w:rPr>
        <w:t xml:space="preserve"> and minimal correlation</w:t>
      </w:r>
      <w:r>
        <w:rPr>
          <w:rFonts w:ascii="Arial" w:eastAsia="Times New Roman" w:hAnsi="Arial" w:cs="Arial"/>
        </w:rPr>
        <w:t>. </w:t>
      </w:r>
    </w:p>
    <w:p w:rsidR="00E70F7B" w:rsidRDefault="00E70F7B" w:rsidP="00E70F7B">
      <w:pPr>
        <w:spacing w:after="150"/>
        <w:rPr>
          <w:rFonts w:ascii="Trebuchet MS" w:hAnsi="Trebuchet MS"/>
          <w:sz w:val="17"/>
          <w:szCs w:val="17"/>
        </w:rPr>
      </w:pPr>
    </w:p>
    <w:p w:rsidR="00A302AD" w:rsidRDefault="00A302AD" w:rsidP="00A302AD">
      <w:pPr>
        <w:rPr>
          <w:rFonts w:ascii="Arial" w:eastAsia="Times New Roman" w:hAnsi="Arial" w:cs="Arial"/>
        </w:rPr>
      </w:pPr>
      <w:r>
        <w:rPr>
          <w:rFonts w:ascii="Arial" w:eastAsia="Times New Roman" w:hAnsi="Arial" w:cs="Arial"/>
        </w:rPr>
        <w:t xml:space="preserve">As of September 30, 2015, the policy allocation to </w:t>
      </w:r>
      <w:r>
        <w:rPr>
          <w:rFonts w:ascii="Arial" w:eastAsia="Times New Roman" w:hAnsi="Arial" w:cs="Arial"/>
        </w:rPr>
        <w:t>Absolute Return Hedge Funds</w:t>
      </w:r>
      <w:r>
        <w:rPr>
          <w:rFonts w:ascii="Arial" w:eastAsia="Times New Roman" w:hAnsi="Arial" w:cs="Arial"/>
        </w:rPr>
        <w:t xml:space="preserve"> is 7%.</w:t>
      </w:r>
    </w:p>
    <w:p w:rsidR="00E70F7B" w:rsidRDefault="00E70F7B" w:rsidP="00E70F7B">
      <w:pPr>
        <w:jc w:val="both"/>
        <w:rPr>
          <w:rFonts w:ascii="Arial" w:eastAsia="Times New Roman" w:hAnsi="Arial" w:cs="Arial"/>
          <w:sz w:val="17"/>
          <w:szCs w:val="17"/>
        </w:rPr>
      </w:pP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rsidP="00E70F7B">
      <w:pPr>
        <w:rPr>
          <w:rFonts w:eastAsia="Times New Roman"/>
        </w:rPr>
      </w:pPr>
    </w:p>
    <w:p w:rsidR="003D249E" w:rsidRDefault="003D249E"/>
    <w:sectPr w:rsidR="003D249E" w:rsidSect="00641C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8D" w:rsidRDefault="0094658D" w:rsidP="0094658D">
      <w:r>
        <w:separator/>
      </w:r>
    </w:p>
  </w:endnote>
  <w:endnote w:type="continuationSeparator" w:id="0">
    <w:p w:rsidR="0094658D" w:rsidRDefault="0094658D" w:rsidP="0094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2636"/>
      <w:docPartObj>
        <w:docPartGallery w:val="Page Numbers (Bottom of Page)"/>
        <w:docPartUnique/>
      </w:docPartObj>
    </w:sdtPr>
    <w:sdtEndPr>
      <w:rPr>
        <w:noProof/>
      </w:rPr>
    </w:sdtEndPr>
    <w:sdtContent>
      <w:p w:rsidR="00BA2E38" w:rsidRDefault="00BA2E38">
        <w:pPr>
          <w:pStyle w:val="Footer"/>
          <w:jc w:val="center"/>
        </w:pPr>
        <w:r>
          <w:fldChar w:fldCharType="begin"/>
        </w:r>
        <w:r>
          <w:instrText xml:space="preserve"> PAGE   \* MERGEFORMAT </w:instrText>
        </w:r>
        <w:r>
          <w:fldChar w:fldCharType="separate"/>
        </w:r>
        <w:r w:rsidR="00352A90">
          <w:rPr>
            <w:noProof/>
          </w:rPr>
          <w:t>8</w:t>
        </w:r>
        <w:r>
          <w:rPr>
            <w:noProof/>
          </w:rPr>
          <w:fldChar w:fldCharType="end"/>
        </w:r>
      </w:p>
    </w:sdtContent>
  </w:sdt>
  <w:p w:rsidR="00641C7A" w:rsidRDefault="0064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8D" w:rsidRDefault="0094658D" w:rsidP="0094658D">
      <w:r>
        <w:separator/>
      </w:r>
    </w:p>
  </w:footnote>
  <w:footnote w:type="continuationSeparator" w:id="0">
    <w:p w:rsidR="0094658D" w:rsidRDefault="0094658D" w:rsidP="0094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8D" w:rsidRPr="0094658D" w:rsidRDefault="0094658D" w:rsidP="0094658D">
    <w:pPr>
      <w:pStyle w:val="Header"/>
      <w:jc w:val="right"/>
      <w:rPr>
        <w:color w:val="FF0000"/>
        <w:sz w:val="32"/>
        <w:szCs w:val="32"/>
      </w:rPr>
    </w:pPr>
    <w:r w:rsidRPr="0094658D">
      <w:rPr>
        <w:color w:val="FF0000"/>
        <w:sz w:val="32"/>
        <w:szCs w:val="32"/>
      </w:rPr>
      <w:t xml:space="preserve">DRAFT </w:t>
    </w:r>
    <w:r w:rsidR="00E55252">
      <w:rPr>
        <w:color w:val="FF0000"/>
        <w:sz w:val="32"/>
        <w:szCs w:val="32"/>
      </w:rPr>
      <w:t xml:space="preserve"> for SIC </w:t>
    </w:r>
    <w:r w:rsidR="00641C7A">
      <w:rPr>
        <w:color w:val="FF0000"/>
        <w:sz w:val="32"/>
        <w:szCs w:val="32"/>
      </w:rPr>
      <w:t xml:space="preserve">meeting </w:t>
    </w:r>
    <w:r w:rsidRPr="0094658D">
      <w:rPr>
        <w:color w:val="FF0000"/>
        <w:sz w:val="32"/>
        <w:szCs w:val="32"/>
      </w:rPr>
      <w:t>12/1</w:t>
    </w:r>
    <w:r w:rsidR="00E55252">
      <w:rPr>
        <w:color w:val="FF0000"/>
        <w:sz w:val="32"/>
        <w:szCs w:val="32"/>
      </w:rPr>
      <w:t>6</w:t>
    </w:r>
    <w:r w:rsidRPr="0094658D">
      <w:rPr>
        <w:color w:val="FF0000"/>
        <w:sz w:val="32"/>
        <w:szCs w:val="32"/>
      </w:rPr>
      <w:t>/2015</w:t>
    </w:r>
  </w:p>
  <w:p w:rsidR="0094658D" w:rsidRDefault="00946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6D8"/>
    <w:multiLevelType w:val="multilevel"/>
    <w:tmpl w:val="2B8CF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367D26"/>
    <w:multiLevelType w:val="multilevel"/>
    <w:tmpl w:val="C90E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E17D5E"/>
    <w:multiLevelType w:val="multilevel"/>
    <w:tmpl w:val="B838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1A7576"/>
    <w:multiLevelType w:val="multilevel"/>
    <w:tmpl w:val="E15E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EC79D7"/>
    <w:multiLevelType w:val="multilevel"/>
    <w:tmpl w:val="05E2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0BD47B8"/>
    <w:multiLevelType w:val="multilevel"/>
    <w:tmpl w:val="3392E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181BA8"/>
    <w:multiLevelType w:val="multilevel"/>
    <w:tmpl w:val="69E02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E8788A"/>
    <w:multiLevelType w:val="multilevel"/>
    <w:tmpl w:val="4446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F15C5F"/>
    <w:multiLevelType w:val="multilevel"/>
    <w:tmpl w:val="EB72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7B"/>
    <w:rsid w:val="00034E8F"/>
    <w:rsid w:val="000A60BE"/>
    <w:rsid w:val="00352A90"/>
    <w:rsid w:val="003D249E"/>
    <w:rsid w:val="00641C7A"/>
    <w:rsid w:val="00665F41"/>
    <w:rsid w:val="0094658D"/>
    <w:rsid w:val="009B317E"/>
    <w:rsid w:val="00A27634"/>
    <w:rsid w:val="00A302AD"/>
    <w:rsid w:val="00BA2E38"/>
    <w:rsid w:val="00E55252"/>
    <w:rsid w:val="00E7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E70F7B"/>
  </w:style>
  <w:style w:type="paragraph" w:styleId="Header">
    <w:name w:val="header"/>
    <w:basedOn w:val="Normal"/>
    <w:link w:val="HeaderChar"/>
    <w:uiPriority w:val="99"/>
    <w:unhideWhenUsed/>
    <w:rsid w:val="0094658D"/>
    <w:pPr>
      <w:tabs>
        <w:tab w:val="center" w:pos="4680"/>
        <w:tab w:val="right" w:pos="9360"/>
      </w:tabs>
    </w:pPr>
  </w:style>
  <w:style w:type="character" w:customStyle="1" w:styleId="HeaderChar">
    <w:name w:val="Header Char"/>
    <w:basedOn w:val="DefaultParagraphFont"/>
    <w:link w:val="Header"/>
    <w:uiPriority w:val="99"/>
    <w:rsid w:val="0094658D"/>
    <w:rPr>
      <w:rFonts w:ascii="Times New Roman" w:hAnsi="Times New Roman" w:cs="Times New Roman"/>
      <w:sz w:val="24"/>
      <w:szCs w:val="24"/>
    </w:rPr>
  </w:style>
  <w:style w:type="paragraph" w:styleId="Footer">
    <w:name w:val="footer"/>
    <w:basedOn w:val="Normal"/>
    <w:link w:val="FooterChar"/>
    <w:uiPriority w:val="99"/>
    <w:unhideWhenUsed/>
    <w:rsid w:val="0094658D"/>
    <w:pPr>
      <w:tabs>
        <w:tab w:val="center" w:pos="4680"/>
        <w:tab w:val="right" w:pos="9360"/>
      </w:tabs>
    </w:pPr>
  </w:style>
  <w:style w:type="character" w:customStyle="1" w:styleId="FooterChar">
    <w:name w:val="Footer Char"/>
    <w:basedOn w:val="DefaultParagraphFont"/>
    <w:link w:val="Footer"/>
    <w:uiPriority w:val="99"/>
    <w:rsid w:val="009465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658D"/>
    <w:rPr>
      <w:rFonts w:ascii="Tahoma" w:hAnsi="Tahoma" w:cs="Tahoma"/>
      <w:sz w:val="16"/>
      <w:szCs w:val="16"/>
    </w:rPr>
  </w:style>
  <w:style w:type="character" w:customStyle="1" w:styleId="BalloonTextChar">
    <w:name w:val="Balloon Text Char"/>
    <w:basedOn w:val="DefaultParagraphFont"/>
    <w:link w:val="BalloonText"/>
    <w:uiPriority w:val="99"/>
    <w:semiHidden/>
    <w:rsid w:val="00946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E70F7B"/>
  </w:style>
  <w:style w:type="paragraph" w:styleId="Header">
    <w:name w:val="header"/>
    <w:basedOn w:val="Normal"/>
    <w:link w:val="HeaderChar"/>
    <w:uiPriority w:val="99"/>
    <w:unhideWhenUsed/>
    <w:rsid w:val="0094658D"/>
    <w:pPr>
      <w:tabs>
        <w:tab w:val="center" w:pos="4680"/>
        <w:tab w:val="right" w:pos="9360"/>
      </w:tabs>
    </w:pPr>
  </w:style>
  <w:style w:type="character" w:customStyle="1" w:styleId="HeaderChar">
    <w:name w:val="Header Char"/>
    <w:basedOn w:val="DefaultParagraphFont"/>
    <w:link w:val="Header"/>
    <w:uiPriority w:val="99"/>
    <w:rsid w:val="0094658D"/>
    <w:rPr>
      <w:rFonts w:ascii="Times New Roman" w:hAnsi="Times New Roman" w:cs="Times New Roman"/>
      <w:sz w:val="24"/>
      <w:szCs w:val="24"/>
    </w:rPr>
  </w:style>
  <w:style w:type="paragraph" w:styleId="Footer">
    <w:name w:val="footer"/>
    <w:basedOn w:val="Normal"/>
    <w:link w:val="FooterChar"/>
    <w:uiPriority w:val="99"/>
    <w:unhideWhenUsed/>
    <w:rsid w:val="0094658D"/>
    <w:pPr>
      <w:tabs>
        <w:tab w:val="center" w:pos="4680"/>
        <w:tab w:val="right" w:pos="9360"/>
      </w:tabs>
    </w:pPr>
  </w:style>
  <w:style w:type="character" w:customStyle="1" w:styleId="FooterChar">
    <w:name w:val="Footer Char"/>
    <w:basedOn w:val="DefaultParagraphFont"/>
    <w:link w:val="Footer"/>
    <w:uiPriority w:val="99"/>
    <w:rsid w:val="009465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658D"/>
    <w:rPr>
      <w:rFonts w:ascii="Tahoma" w:hAnsi="Tahoma" w:cs="Tahoma"/>
      <w:sz w:val="16"/>
      <w:szCs w:val="16"/>
    </w:rPr>
  </w:style>
  <w:style w:type="character" w:customStyle="1" w:styleId="BalloonTextChar">
    <w:name w:val="Balloon Text Char"/>
    <w:basedOn w:val="DefaultParagraphFont"/>
    <w:link w:val="BalloonText"/>
    <w:uiPriority w:val="99"/>
    <w:semiHidden/>
    <w:rsid w:val="00946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08"/>
    <w:rsid w:val="00E2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76DA5B81B417998126040B5AD51AD">
    <w:name w:val="6A476DA5B81B417998126040B5AD51AD"/>
    <w:rsid w:val="00E23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76DA5B81B417998126040B5AD51AD">
    <w:name w:val="6A476DA5B81B417998126040B5AD51AD"/>
    <w:rsid w:val="00E23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D47F-6F8F-4825-8B77-8E2C228E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Fink</dc:creator>
  <cp:lastModifiedBy>Anne-Marie Fink</cp:lastModifiedBy>
  <cp:revision>5</cp:revision>
  <dcterms:created xsi:type="dcterms:W3CDTF">2015-12-15T16:56:00Z</dcterms:created>
  <dcterms:modified xsi:type="dcterms:W3CDTF">2015-12-15T17:16:00Z</dcterms:modified>
</cp:coreProperties>
</file>