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4B" w:rsidRP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sz w:val="56"/>
          <w:szCs w:val="56"/>
        </w:rPr>
      </w:pPr>
      <w:proofErr w:type="spellStart"/>
      <w:r w:rsidRPr="00AB3B4B">
        <w:rPr>
          <w:rFonts w:ascii="Arial Narrow" w:hAnsi="Arial Narrow"/>
          <w:b/>
          <w:sz w:val="56"/>
          <w:szCs w:val="56"/>
        </w:rPr>
        <w:t>MERS</w:t>
      </w:r>
      <w:proofErr w:type="spellEnd"/>
    </w:p>
    <w:p w:rsid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p>
    <w:p w:rsidR="00AB3B4B" w:rsidRP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r w:rsidRPr="00AB3B4B">
        <w:rPr>
          <w:rFonts w:ascii="Arial Narrow" w:hAnsi="Arial Narrow"/>
          <w:b/>
        </w:rPr>
        <w:t xml:space="preserve">Proposed Pension Note Disclosures – </w:t>
      </w:r>
      <w:proofErr w:type="spellStart"/>
      <w:r w:rsidRPr="00AB3B4B">
        <w:rPr>
          <w:rFonts w:ascii="Arial Narrow" w:hAnsi="Arial Narrow"/>
          <w:b/>
        </w:rPr>
        <w:t>MERS</w:t>
      </w:r>
      <w:proofErr w:type="spellEnd"/>
      <w:r w:rsidRPr="00AB3B4B">
        <w:rPr>
          <w:rFonts w:ascii="Arial Narrow" w:hAnsi="Arial Narrow"/>
          <w:b/>
        </w:rPr>
        <w:t xml:space="preserve"> Agent Plan Employer Units </w:t>
      </w:r>
      <w:r w:rsidRPr="00AB3B4B">
        <w:rPr>
          <w:rFonts w:ascii="Arial Narrow" w:hAnsi="Arial Narrow"/>
          <w:b/>
        </w:rPr>
        <w:tab/>
      </w:r>
      <w:r w:rsidRPr="00AB3B4B">
        <w:rPr>
          <w:rFonts w:ascii="Arial Narrow" w:hAnsi="Arial Narrow"/>
          <w:b/>
        </w:rPr>
        <w:tab/>
      </w:r>
      <w:r w:rsidRPr="00AB3B4B">
        <w:rPr>
          <w:rFonts w:ascii="Arial Narrow" w:hAnsi="Arial Narrow"/>
          <w:b/>
        </w:rPr>
        <w:tab/>
      </w:r>
      <w:r w:rsidRPr="00AB3B4B">
        <w:rPr>
          <w:rFonts w:ascii="Arial Narrow" w:hAnsi="Arial Narrow"/>
          <w:b/>
        </w:rPr>
        <w:tab/>
      </w:r>
      <w:r>
        <w:rPr>
          <w:rFonts w:ascii="Arial Narrow" w:hAnsi="Arial Narrow"/>
          <w:b/>
        </w:rPr>
        <w:t xml:space="preserve">              </w:t>
      </w:r>
      <w:r w:rsidRPr="00AB3B4B">
        <w:rPr>
          <w:rFonts w:ascii="Arial Narrow" w:hAnsi="Arial Narrow"/>
          <w:b/>
          <w:i/>
        </w:rPr>
        <w:t>Revised 1</w:t>
      </w:r>
      <w:r w:rsidR="00310995">
        <w:rPr>
          <w:rFonts w:ascii="Arial Narrow" w:hAnsi="Arial Narrow"/>
          <w:b/>
          <w:i/>
        </w:rPr>
        <w:t>1</w:t>
      </w:r>
      <w:r w:rsidRPr="00AB3B4B">
        <w:rPr>
          <w:rFonts w:ascii="Arial Narrow" w:hAnsi="Arial Narrow"/>
          <w:b/>
          <w:i/>
        </w:rPr>
        <w:t>-</w:t>
      </w:r>
      <w:r w:rsidR="00107FED">
        <w:rPr>
          <w:rFonts w:ascii="Arial Narrow" w:hAnsi="Arial Narrow"/>
          <w:b/>
          <w:i/>
        </w:rPr>
        <w:t>12</w:t>
      </w:r>
      <w:r w:rsidRPr="00AB3B4B">
        <w:rPr>
          <w:rFonts w:ascii="Arial Narrow" w:hAnsi="Arial Narrow"/>
          <w:b/>
          <w:i/>
        </w:rPr>
        <w:t xml:space="preserve">-2015 </w:t>
      </w:r>
    </w:p>
    <w:p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p>
    <w:p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r w:rsidRPr="00AB3B4B">
        <w:rPr>
          <w:rFonts w:ascii="Arial Narrow" w:hAnsi="Arial Narrow" w:cs="Arial"/>
          <w:b/>
          <w:i/>
        </w:rPr>
        <w:t xml:space="preserve">Based on Illustration 2 in </w:t>
      </w:r>
      <w:proofErr w:type="spellStart"/>
      <w:r w:rsidRPr="00AB3B4B">
        <w:rPr>
          <w:rFonts w:ascii="Arial Narrow" w:hAnsi="Arial Narrow" w:cs="Arial"/>
          <w:b/>
          <w:i/>
        </w:rPr>
        <w:t>GASB</w:t>
      </w:r>
      <w:proofErr w:type="spellEnd"/>
      <w:r w:rsidRPr="00AB3B4B">
        <w:rPr>
          <w:rFonts w:ascii="Arial Narrow" w:hAnsi="Arial Narrow" w:cs="Arial"/>
          <w:b/>
          <w:i/>
        </w:rPr>
        <w:t xml:space="preserve"> Statement No. 68</w:t>
      </w:r>
      <w:r w:rsidR="00BB07EB">
        <w:rPr>
          <w:rFonts w:ascii="Arial Narrow" w:hAnsi="Arial Narrow" w:cs="Arial"/>
          <w:b/>
          <w:i/>
        </w:rPr>
        <w:t xml:space="preserve"> (par</w:t>
      </w:r>
      <w:proofErr w:type="gramStart"/>
      <w:r w:rsidR="00BB07EB">
        <w:rPr>
          <w:rFonts w:ascii="Arial Narrow" w:hAnsi="Arial Narrow" w:cs="Arial"/>
          <w:b/>
          <w:i/>
        </w:rPr>
        <w:t>. .</w:t>
      </w:r>
      <w:proofErr w:type="gramEnd"/>
      <w:r w:rsidR="00BB07EB">
        <w:rPr>
          <w:rFonts w:ascii="Arial Narrow" w:hAnsi="Arial Narrow" w:cs="Arial"/>
          <w:b/>
          <w:i/>
        </w:rPr>
        <w:t xml:space="preserve">74 to .80 of </w:t>
      </w:r>
      <w:proofErr w:type="spellStart"/>
      <w:r w:rsidR="00BB07EB">
        <w:rPr>
          <w:rFonts w:ascii="Arial Narrow" w:hAnsi="Arial Narrow" w:cs="Arial"/>
          <w:b/>
          <w:i/>
        </w:rPr>
        <w:t>GASB</w:t>
      </w:r>
      <w:proofErr w:type="spellEnd"/>
      <w:r w:rsidR="00BB07EB">
        <w:rPr>
          <w:rFonts w:ascii="Arial Narrow" w:hAnsi="Arial Narrow" w:cs="Arial"/>
          <w:b/>
          <w:i/>
        </w:rPr>
        <w:t xml:space="preserve"> 68)</w:t>
      </w:r>
    </w:p>
    <w:p w:rsidR="00AB3B4B" w:rsidRDefault="00AB3B4B" w:rsidP="006920F8">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i/>
        </w:rPr>
      </w:pPr>
      <w:r w:rsidRPr="00AB3B4B">
        <w:rPr>
          <w:rFonts w:ascii="Arial Narrow" w:hAnsi="Arial Narrow" w:cs="Arial"/>
          <w:b/>
          <w:i/>
        </w:rPr>
        <w:t xml:space="preserve"> </w:t>
      </w:r>
    </w:p>
    <w:p w:rsidR="00F67EE7" w:rsidRPr="00AB3B4B" w:rsidRDefault="00F67EE7" w:rsidP="00AB3B4B">
      <w:pPr>
        <w:pStyle w:val="CM6"/>
        <w:jc w:val="both"/>
        <w:rPr>
          <w:rFonts w:ascii="Arial Narrow" w:hAnsi="Arial Narrow" w:cs="Arial"/>
          <w:i/>
        </w:rPr>
      </w:pPr>
      <w:r w:rsidRPr="00AB3B4B">
        <w:rPr>
          <w:rFonts w:ascii="Arial Narrow" w:hAnsi="Arial Narrow" w:cs="Arial"/>
          <w:i/>
        </w:rPr>
        <w:t xml:space="preserve"> </w:t>
      </w:r>
    </w:p>
    <w:p w:rsidR="00F67EE7"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w:t>
      </w:r>
      <w:r w:rsidR="00F67EE7" w:rsidRPr="009D1BDC">
        <w:rPr>
          <w:rFonts w:ascii="Arial Narrow" w:hAnsi="Arial Narrow" w:cs="Arial"/>
          <w:b/>
          <w:i/>
        </w:rPr>
        <w:t xml:space="preserve">Summary of Significant Accounting Policies </w:t>
      </w:r>
    </w:p>
    <w:p w:rsidR="00AB3B4B" w:rsidRPr="009D1BDC" w:rsidRDefault="00AB3B4B" w:rsidP="00AB3B4B">
      <w:pPr>
        <w:pStyle w:val="Default"/>
        <w:rPr>
          <w:rFonts w:ascii="Arial Narrow" w:hAnsi="Arial Narrow"/>
          <w:sz w:val="22"/>
          <w:szCs w:val="22"/>
        </w:rPr>
      </w:pPr>
    </w:p>
    <w:p w:rsidR="00352BEA"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b/>
          <w:sz w:val="22"/>
          <w:szCs w:val="22"/>
        </w:rPr>
        <w:t xml:space="preserve">Pensions </w:t>
      </w:r>
      <w:r w:rsidRPr="009D1BDC">
        <w:rPr>
          <w:rFonts w:ascii="Arial Narrow" w:hAnsi="Arial Narrow" w:cs="Arial"/>
          <w:sz w:val="22"/>
          <w:szCs w:val="22"/>
        </w:rPr>
        <w:t xml:space="preserve"> </w:t>
      </w:r>
    </w:p>
    <w:p w:rsidR="00F67EE7" w:rsidRPr="009D1BDC" w:rsidRDefault="00F67EE7" w:rsidP="00AB3B4B">
      <w:pPr>
        <w:pStyle w:val="CM22"/>
        <w:spacing w:after="230" w:line="240" w:lineRule="atLeast"/>
        <w:ind w:right="162"/>
        <w:jc w:val="both"/>
        <w:rPr>
          <w:rFonts w:ascii="Arial Narrow" w:hAnsi="Arial Narrow" w:cs="Arial"/>
          <w:sz w:val="22"/>
          <w:szCs w:val="22"/>
        </w:rPr>
      </w:pPr>
      <w:proofErr w:type="gramStart"/>
      <w:r w:rsidRPr="009D1BDC">
        <w:rPr>
          <w:rFonts w:ascii="Arial Narrow" w:hAnsi="Arial Narrow" w:cs="Arial"/>
          <w:sz w:val="22"/>
          <w:szCs w:val="22"/>
        </w:rPr>
        <w:t xml:space="preserve">For purposes of measuring the </w:t>
      </w:r>
      <w:r w:rsidR="00310995">
        <w:rPr>
          <w:rFonts w:ascii="Arial Narrow" w:hAnsi="Arial Narrow" w:cs="Arial"/>
          <w:sz w:val="22"/>
          <w:szCs w:val="22"/>
        </w:rPr>
        <w:t>n</w:t>
      </w:r>
      <w:r w:rsidRPr="009D1BDC">
        <w:rPr>
          <w:rFonts w:ascii="Arial Narrow" w:hAnsi="Arial Narrow" w:cs="Arial"/>
          <w:sz w:val="22"/>
          <w:szCs w:val="22"/>
        </w:rPr>
        <w:t xml:space="preserve">et </w:t>
      </w:r>
      <w:r w:rsidR="00310995">
        <w:rPr>
          <w:rFonts w:ascii="Arial Narrow" w:hAnsi="Arial Narrow" w:cs="Arial"/>
          <w:sz w:val="22"/>
          <w:szCs w:val="22"/>
        </w:rPr>
        <w:t>p</w:t>
      </w:r>
      <w:r w:rsidRPr="009D1BDC">
        <w:rPr>
          <w:rFonts w:ascii="Arial Narrow" w:hAnsi="Arial Narrow" w:cs="Arial"/>
          <w:sz w:val="22"/>
          <w:szCs w:val="22"/>
        </w:rPr>
        <w:t xml:space="preserve">ension </w:t>
      </w:r>
      <w:r w:rsidR="00310995">
        <w:rPr>
          <w:rFonts w:ascii="Arial Narrow" w:hAnsi="Arial Narrow" w:cs="Arial"/>
          <w:sz w:val="22"/>
          <w:szCs w:val="22"/>
        </w:rPr>
        <w:t>l</w:t>
      </w:r>
      <w:r w:rsidRPr="009D1BDC">
        <w:rPr>
          <w:rFonts w:ascii="Arial Narrow" w:hAnsi="Arial Narrow" w:cs="Arial"/>
          <w:sz w:val="22"/>
          <w:szCs w:val="22"/>
        </w:rPr>
        <w:t>iability</w:t>
      </w:r>
      <w:r w:rsidR="00803299">
        <w:rPr>
          <w:rFonts w:ascii="Arial Narrow" w:hAnsi="Arial Narrow" w:cs="Arial"/>
          <w:sz w:val="22"/>
          <w:szCs w:val="22"/>
        </w:rPr>
        <w:t xml:space="preserve"> (asset)</w:t>
      </w:r>
      <w:r w:rsidRPr="009D1BDC">
        <w:rPr>
          <w:rFonts w:ascii="Arial Narrow" w:hAnsi="Arial Narrow" w:cs="Arial"/>
          <w:sz w:val="22"/>
          <w:szCs w:val="22"/>
        </w:rPr>
        <w:t>, deferred outflows of resources and deferred inflows of resources related to pensions, and pension expense, information about the fiduciary net position of the Municipal Employees</w:t>
      </w:r>
      <w:r w:rsidR="00D12C6E">
        <w:rPr>
          <w:rFonts w:ascii="Arial Narrow" w:hAnsi="Arial Narrow" w:cs="Arial"/>
          <w:sz w:val="22"/>
          <w:szCs w:val="22"/>
        </w:rPr>
        <w:t>’</w:t>
      </w:r>
      <w:r w:rsidRPr="009D1BDC">
        <w:rPr>
          <w:rFonts w:ascii="Arial Narrow" w:hAnsi="Arial Narrow" w:cs="Arial"/>
          <w:sz w:val="22"/>
          <w:szCs w:val="22"/>
        </w:rPr>
        <w:t xml:space="preserve"> Retirement System (</w:t>
      </w:r>
      <w:proofErr w:type="spellStart"/>
      <w:r w:rsidRPr="009D1BDC">
        <w:rPr>
          <w:rFonts w:ascii="Arial Narrow" w:hAnsi="Arial Narrow" w:cs="Arial"/>
          <w:sz w:val="22"/>
          <w:szCs w:val="22"/>
        </w:rPr>
        <w:t>MERS</w:t>
      </w:r>
      <w:proofErr w:type="spellEnd"/>
      <w:r w:rsidRPr="009D1BDC">
        <w:rPr>
          <w:rFonts w:ascii="Arial Narrow" w:hAnsi="Arial Narrow" w:cs="Arial"/>
          <w:sz w:val="22"/>
          <w:szCs w:val="22"/>
        </w:rPr>
        <w:t xml:space="preserve">) of </w:t>
      </w:r>
      <w:r w:rsidR="00242B91" w:rsidRPr="009D1BDC">
        <w:rPr>
          <w:rFonts w:ascii="Arial Narrow" w:hAnsi="Arial Narrow" w:cs="Arial"/>
          <w:sz w:val="22"/>
          <w:szCs w:val="22"/>
        </w:rPr>
        <w:t>Rhode Island</w:t>
      </w:r>
      <w:r w:rsidRPr="009D1BDC">
        <w:rPr>
          <w:rFonts w:ascii="Arial Narrow" w:hAnsi="Arial Narrow" w:cs="Arial"/>
          <w:sz w:val="22"/>
          <w:szCs w:val="22"/>
        </w:rPr>
        <w:t xml:space="preserve"> and additions to/deductions from </w:t>
      </w:r>
      <w:proofErr w:type="spellStart"/>
      <w:r w:rsidRPr="009D1BDC">
        <w:rPr>
          <w:rFonts w:ascii="Arial Narrow" w:hAnsi="Arial Narrow" w:cs="Arial"/>
          <w:sz w:val="22"/>
          <w:szCs w:val="22"/>
        </w:rPr>
        <w:t>MERS</w:t>
      </w:r>
      <w:proofErr w:type="spellEnd"/>
      <w:r w:rsidRPr="009D1BDC">
        <w:rPr>
          <w:rFonts w:ascii="Arial Narrow" w:hAnsi="Arial Narrow" w:cs="Arial"/>
          <w:sz w:val="22"/>
          <w:szCs w:val="22"/>
        </w:rPr>
        <w:t xml:space="preserve">’ fiduciary net position have been determined on the same basis as they are reported by </w:t>
      </w:r>
      <w:proofErr w:type="spellStart"/>
      <w:r w:rsidRPr="009D1BDC">
        <w:rPr>
          <w:rFonts w:ascii="Arial Narrow" w:hAnsi="Arial Narrow" w:cs="Arial"/>
          <w:sz w:val="22"/>
          <w:szCs w:val="22"/>
        </w:rPr>
        <w:t>MERS</w:t>
      </w:r>
      <w:proofErr w:type="spellEnd"/>
      <w:r w:rsidRPr="009D1BDC">
        <w:rPr>
          <w:rFonts w:ascii="Arial Narrow" w:hAnsi="Arial Narrow" w:cs="Arial"/>
          <w:sz w:val="22"/>
          <w:szCs w:val="22"/>
        </w:rPr>
        <w:t>.</w:t>
      </w:r>
      <w:proofErr w:type="gramEnd"/>
      <w:r w:rsidRPr="009D1BDC">
        <w:rPr>
          <w:rFonts w:ascii="Arial Narrow" w:hAnsi="Arial Narrow" w:cs="Arial"/>
          <w:sz w:val="22"/>
          <w:szCs w:val="22"/>
        </w:rPr>
        <w:t xml:space="preserve"> For this purpose, benefit payments (including refunds of employee contributions) </w:t>
      </w:r>
      <w:proofErr w:type="gramStart"/>
      <w:r w:rsidRPr="009D1BDC">
        <w:rPr>
          <w:rFonts w:ascii="Arial Narrow" w:hAnsi="Arial Narrow" w:cs="Arial"/>
          <w:sz w:val="22"/>
          <w:szCs w:val="22"/>
        </w:rPr>
        <w:t>are recognized</w:t>
      </w:r>
      <w:proofErr w:type="gramEnd"/>
      <w:r w:rsidRPr="009D1BDC">
        <w:rPr>
          <w:rFonts w:ascii="Arial Narrow" w:hAnsi="Arial Narrow" w:cs="Arial"/>
          <w:sz w:val="22"/>
          <w:szCs w:val="22"/>
        </w:rPr>
        <w:t xml:space="preserve"> when due and payable in accordance with the benefit terms. Investments </w:t>
      </w:r>
      <w:proofErr w:type="gramStart"/>
      <w:r w:rsidRPr="009D1BDC">
        <w:rPr>
          <w:rFonts w:ascii="Arial Narrow" w:hAnsi="Arial Narrow" w:cs="Arial"/>
          <w:sz w:val="22"/>
          <w:szCs w:val="22"/>
        </w:rPr>
        <w:t>are reported</w:t>
      </w:r>
      <w:proofErr w:type="gramEnd"/>
      <w:r w:rsidRPr="009D1BDC">
        <w:rPr>
          <w:rFonts w:ascii="Arial Narrow" w:hAnsi="Arial Narrow" w:cs="Arial"/>
          <w:sz w:val="22"/>
          <w:szCs w:val="22"/>
        </w:rPr>
        <w:t xml:space="preserve"> at fair value. </w:t>
      </w:r>
    </w:p>
    <w:p w:rsidR="00AB3B4B"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Note related to Pensions - </w:t>
      </w:r>
      <w:r w:rsidRPr="009D1BDC">
        <w:rPr>
          <w:rFonts w:ascii="Arial Narrow" w:hAnsi="Arial Narrow" w:cs="Arial"/>
          <w:b/>
          <w:i/>
        </w:rPr>
        <w:t xml:space="preserve"> </w:t>
      </w:r>
    </w:p>
    <w:p w:rsidR="00AB3B4B" w:rsidRPr="009D1BDC" w:rsidRDefault="00AB3B4B" w:rsidP="00AB3B4B">
      <w:pPr>
        <w:pStyle w:val="Default"/>
        <w:rPr>
          <w:rFonts w:ascii="Arial Narrow" w:hAnsi="Arial Narrow"/>
          <w:sz w:val="22"/>
          <w:szCs w:val="22"/>
        </w:rPr>
      </w:pPr>
    </w:p>
    <w:p w:rsidR="00F67EE7" w:rsidRPr="009D1BDC" w:rsidRDefault="00F67EE7" w:rsidP="00AB3B4B">
      <w:pPr>
        <w:pStyle w:val="CM19"/>
        <w:spacing w:after="85"/>
        <w:jc w:val="both"/>
        <w:rPr>
          <w:rFonts w:ascii="Arial Narrow" w:hAnsi="Arial Narrow" w:cs="Arial"/>
          <w:b/>
          <w:sz w:val="22"/>
          <w:szCs w:val="22"/>
        </w:rPr>
      </w:pPr>
      <w:r w:rsidRPr="009D1BDC">
        <w:rPr>
          <w:rFonts w:ascii="Arial Narrow" w:hAnsi="Arial Narrow" w:cs="Arial"/>
          <w:b/>
          <w:sz w:val="22"/>
          <w:szCs w:val="22"/>
        </w:rPr>
        <w:t xml:space="preserve">General Information about the Pension Plan </w:t>
      </w:r>
    </w:p>
    <w:p w:rsidR="003B65B3" w:rsidRDefault="003B65B3" w:rsidP="003B65B3">
      <w:pPr>
        <w:pStyle w:val="NoSpacing"/>
      </w:pPr>
    </w:p>
    <w:p w:rsidR="006920F8" w:rsidRPr="009D1BDC" w:rsidRDefault="00F67EE7" w:rsidP="00AB3B4B">
      <w:pPr>
        <w:pStyle w:val="CM22"/>
        <w:spacing w:after="230" w:line="243" w:lineRule="atLeast"/>
        <w:jc w:val="both"/>
        <w:rPr>
          <w:rFonts w:ascii="Arial Narrow" w:hAnsi="Arial Narrow" w:cs="Arial"/>
          <w:sz w:val="22"/>
          <w:szCs w:val="22"/>
        </w:rPr>
      </w:pPr>
      <w:r w:rsidRPr="009D1BDC">
        <w:rPr>
          <w:rFonts w:ascii="Arial Narrow" w:hAnsi="Arial Narrow" w:cs="Arial"/>
          <w:b/>
          <w:sz w:val="22"/>
          <w:szCs w:val="22"/>
        </w:rPr>
        <w:t>Plan Description</w:t>
      </w:r>
      <w:r w:rsidR="006920F8" w:rsidRPr="009D1BDC">
        <w:rPr>
          <w:rFonts w:ascii="Arial Narrow" w:hAnsi="Arial Narrow" w:cs="Arial"/>
          <w:b/>
          <w:sz w:val="22"/>
          <w:szCs w:val="22"/>
        </w:rPr>
        <w:t xml:space="preserve"> - </w:t>
      </w:r>
      <w:r w:rsidRPr="009D1BDC">
        <w:rPr>
          <w:rFonts w:ascii="Arial Narrow" w:hAnsi="Arial Narrow" w:cs="Arial"/>
          <w:sz w:val="22"/>
          <w:szCs w:val="22"/>
        </w:rPr>
        <w:t xml:space="preserve">The </w:t>
      </w:r>
      <w:r w:rsidR="006920F8" w:rsidRPr="009D1BDC">
        <w:rPr>
          <w:rFonts w:ascii="Arial Narrow" w:hAnsi="Arial Narrow" w:cs="Arial"/>
          <w:sz w:val="22"/>
          <w:szCs w:val="22"/>
        </w:rPr>
        <w:t>Municipal Employees</w:t>
      </w:r>
      <w:r w:rsidR="00D12C6E">
        <w:rPr>
          <w:rFonts w:ascii="Arial Narrow" w:hAnsi="Arial Narrow" w:cs="Arial"/>
          <w:sz w:val="22"/>
          <w:szCs w:val="22"/>
        </w:rPr>
        <w:t>’</w:t>
      </w:r>
      <w:r w:rsidR="006920F8" w:rsidRPr="009D1BDC">
        <w:rPr>
          <w:rFonts w:ascii="Arial Narrow" w:hAnsi="Arial Narrow" w:cs="Arial"/>
          <w:sz w:val="22"/>
          <w:szCs w:val="22"/>
        </w:rPr>
        <w:t xml:space="preserve"> Retirement System (</w:t>
      </w:r>
      <w:proofErr w:type="spellStart"/>
      <w:r w:rsidR="006920F8" w:rsidRPr="009D1BDC">
        <w:rPr>
          <w:rFonts w:ascii="Arial Narrow" w:hAnsi="Arial Narrow" w:cs="Arial"/>
          <w:sz w:val="22"/>
          <w:szCs w:val="22"/>
        </w:rPr>
        <w:t>MERS</w:t>
      </w:r>
      <w:proofErr w:type="spellEnd"/>
      <w:r w:rsidR="006920F8" w:rsidRPr="009D1BDC">
        <w:rPr>
          <w:rFonts w:ascii="Arial Narrow" w:hAnsi="Arial Narrow" w:cs="Arial"/>
          <w:sz w:val="22"/>
          <w:szCs w:val="22"/>
        </w:rPr>
        <w:t>)</w:t>
      </w:r>
      <w:r w:rsidR="00352BEA">
        <w:rPr>
          <w:rFonts w:ascii="Arial Narrow" w:hAnsi="Arial Narrow" w:cs="Arial"/>
          <w:sz w:val="22"/>
          <w:szCs w:val="22"/>
        </w:rPr>
        <w:t xml:space="preserve"> – an agent multiple-employer</w:t>
      </w:r>
      <w:r w:rsidR="006920F8" w:rsidRPr="009D1BDC">
        <w:rPr>
          <w:rFonts w:ascii="Arial Narrow" w:hAnsi="Arial Narrow" w:cs="Arial"/>
          <w:sz w:val="22"/>
          <w:szCs w:val="22"/>
        </w:rPr>
        <w:t xml:space="preserve"> </w:t>
      </w:r>
      <w:r w:rsidRPr="009D1BDC">
        <w:rPr>
          <w:rFonts w:ascii="Arial Narrow" w:hAnsi="Arial Narrow" w:cs="Arial"/>
          <w:sz w:val="22"/>
          <w:szCs w:val="22"/>
        </w:rPr>
        <w:t>defined benefit pension plan</w:t>
      </w:r>
      <w:r w:rsidR="00352BEA">
        <w:rPr>
          <w:rFonts w:ascii="Arial Narrow" w:hAnsi="Arial Narrow" w:cs="Arial"/>
          <w:sz w:val="22"/>
          <w:szCs w:val="22"/>
        </w:rPr>
        <w:t xml:space="preserve"> - </w:t>
      </w:r>
      <w:r w:rsidRPr="009D1BDC">
        <w:rPr>
          <w:rFonts w:ascii="Arial Narrow" w:hAnsi="Arial Narrow" w:cs="Arial"/>
          <w:sz w:val="22"/>
          <w:szCs w:val="22"/>
        </w:rPr>
        <w:t xml:space="preserve">provides certain retirement, disability and death benefits to plan members and beneficiaries. </w:t>
      </w:r>
      <w:proofErr w:type="spellStart"/>
      <w:r w:rsidR="00242B91" w:rsidRPr="009D1BDC">
        <w:rPr>
          <w:rFonts w:ascii="Arial Narrow" w:hAnsi="Arial Narrow" w:cs="Arial"/>
          <w:sz w:val="22"/>
          <w:szCs w:val="22"/>
        </w:rPr>
        <w:t>MERS</w:t>
      </w:r>
      <w:proofErr w:type="spellEnd"/>
      <w:r w:rsidR="00242B91" w:rsidRPr="009D1BDC">
        <w:rPr>
          <w:rFonts w:ascii="Arial Narrow" w:hAnsi="Arial Narrow" w:cs="Arial"/>
          <w:sz w:val="22"/>
          <w:szCs w:val="22"/>
        </w:rPr>
        <w:t xml:space="preserve"> </w:t>
      </w:r>
      <w:proofErr w:type="gramStart"/>
      <w:r w:rsidR="00242B91" w:rsidRPr="009D1BDC">
        <w:rPr>
          <w:rFonts w:ascii="Arial Narrow" w:hAnsi="Arial Narrow" w:cs="Arial"/>
          <w:sz w:val="22"/>
          <w:szCs w:val="22"/>
        </w:rPr>
        <w:t xml:space="preserve">was established under Rhode Island General Law and placed under the management of </w:t>
      </w:r>
      <w:r w:rsidR="00310995">
        <w:rPr>
          <w:rFonts w:ascii="Arial Narrow" w:hAnsi="Arial Narrow" w:cs="Arial"/>
          <w:sz w:val="22"/>
          <w:szCs w:val="22"/>
        </w:rPr>
        <w:t xml:space="preserve">the Employee’s </w:t>
      </w:r>
      <w:r w:rsidR="00242B91" w:rsidRPr="009D1BDC">
        <w:rPr>
          <w:rFonts w:ascii="Arial Narrow" w:hAnsi="Arial Narrow" w:cs="Arial"/>
          <w:sz w:val="22"/>
          <w:szCs w:val="22"/>
        </w:rPr>
        <w:t>Retirement</w:t>
      </w:r>
      <w:r w:rsidR="00310995">
        <w:rPr>
          <w:rFonts w:ascii="Arial Narrow" w:hAnsi="Arial Narrow" w:cs="Arial"/>
          <w:sz w:val="22"/>
          <w:szCs w:val="22"/>
        </w:rPr>
        <w:t xml:space="preserve"> System of Rhode Island (</w:t>
      </w:r>
      <w:proofErr w:type="spellStart"/>
      <w:r w:rsidR="00310995">
        <w:rPr>
          <w:rFonts w:ascii="Arial Narrow" w:hAnsi="Arial Narrow" w:cs="Arial"/>
          <w:sz w:val="22"/>
          <w:szCs w:val="22"/>
        </w:rPr>
        <w:t>ERSRI</w:t>
      </w:r>
      <w:proofErr w:type="spellEnd"/>
      <w:r w:rsidR="00310995">
        <w:rPr>
          <w:rFonts w:ascii="Arial Narrow" w:hAnsi="Arial Narrow" w:cs="Arial"/>
          <w:sz w:val="22"/>
          <w:szCs w:val="22"/>
        </w:rPr>
        <w:t>) Board</w:t>
      </w:r>
      <w:r w:rsidR="00242B91" w:rsidRPr="009D1BDC">
        <w:rPr>
          <w:rFonts w:ascii="Arial Narrow" w:hAnsi="Arial Narrow" w:cs="Arial"/>
          <w:sz w:val="22"/>
          <w:szCs w:val="22"/>
        </w:rPr>
        <w:t xml:space="preserve"> to provide retirement allowances to employees of municipalities, housing authorities, water and sewer districts, and municipal police and fire persons that have elected to participate</w:t>
      </w:r>
      <w:proofErr w:type="gramEnd"/>
      <w:r w:rsidR="00242B91" w:rsidRPr="009D1BDC">
        <w:rPr>
          <w:rFonts w:ascii="Arial Narrow" w:hAnsi="Arial Narrow" w:cs="Arial"/>
          <w:sz w:val="22"/>
          <w:szCs w:val="22"/>
        </w:rPr>
        <w:t>.</w:t>
      </w:r>
      <w:r w:rsidRPr="009D1BDC">
        <w:rPr>
          <w:rFonts w:ascii="Arial Narrow" w:hAnsi="Arial Narrow" w:cs="Arial"/>
          <w:sz w:val="22"/>
          <w:szCs w:val="22"/>
        </w:rPr>
        <w:t xml:space="preserve"> </w:t>
      </w:r>
      <w:r w:rsidR="00505892">
        <w:rPr>
          <w:rFonts w:ascii="Arial Narrow" w:hAnsi="Arial Narrow" w:cs="Arial"/>
          <w:sz w:val="22"/>
          <w:szCs w:val="22"/>
        </w:rPr>
        <w:t xml:space="preserve">  Benefit provisions are subject to amendment by the General Assembly.</w:t>
      </w:r>
      <w:r w:rsidRPr="009D1BDC">
        <w:rPr>
          <w:rFonts w:ascii="Arial Narrow" w:hAnsi="Arial Narrow" w:cs="Arial"/>
          <w:sz w:val="22"/>
          <w:szCs w:val="22"/>
        </w:rPr>
        <w:t xml:space="preserve"> </w:t>
      </w:r>
    </w:p>
    <w:p w:rsidR="00F67EE7" w:rsidRPr="009D1BDC" w:rsidRDefault="00242B91" w:rsidP="00AB3B4B">
      <w:pPr>
        <w:pStyle w:val="CM22"/>
        <w:spacing w:after="230" w:line="243" w:lineRule="atLeast"/>
        <w:jc w:val="both"/>
        <w:rPr>
          <w:rFonts w:ascii="Arial Narrow" w:hAnsi="Arial Narrow" w:cs="Arial"/>
          <w:sz w:val="22"/>
          <w:szCs w:val="22"/>
        </w:rPr>
      </w:pPr>
      <w:proofErr w:type="spellStart"/>
      <w:r w:rsidRPr="009D1BDC">
        <w:rPr>
          <w:rFonts w:ascii="Arial Narrow" w:hAnsi="Arial Narrow" w:cs="Arial"/>
          <w:sz w:val="22"/>
          <w:szCs w:val="22"/>
        </w:rPr>
        <w:t>M</w:t>
      </w:r>
      <w:r w:rsidR="00F67EE7" w:rsidRPr="009D1BDC">
        <w:rPr>
          <w:rFonts w:ascii="Arial Narrow" w:hAnsi="Arial Narrow" w:cs="Arial"/>
          <w:sz w:val="22"/>
          <w:szCs w:val="22"/>
        </w:rPr>
        <w:t>ERS</w:t>
      </w:r>
      <w:proofErr w:type="spellEnd"/>
      <w:r w:rsidR="00F67EE7" w:rsidRPr="009D1BDC">
        <w:rPr>
          <w:rFonts w:ascii="Arial Narrow" w:hAnsi="Arial Narrow" w:cs="Arial"/>
          <w:sz w:val="22"/>
          <w:szCs w:val="22"/>
        </w:rPr>
        <w:t xml:space="preserve"> issues a publicly available financial report that includes financial statements and required supplementary information. This report </w:t>
      </w:r>
      <w:proofErr w:type="gramStart"/>
      <w:r w:rsidR="00F67EE7" w:rsidRPr="009D1BDC">
        <w:rPr>
          <w:rFonts w:ascii="Arial Narrow" w:hAnsi="Arial Narrow" w:cs="Arial"/>
          <w:sz w:val="22"/>
          <w:szCs w:val="22"/>
        </w:rPr>
        <w:t>may be obtained</w:t>
      </w:r>
      <w:proofErr w:type="gramEnd"/>
      <w:r w:rsidR="00F67EE7" w:rsidRPr="009D1BDC">
        <w:rPr>
          <w:rFonts w:ascii="Arial Narrow" w:hAnsi="Arial Narrow" w:cs="Arial"/>
          <w:sz w:val="22"/>
          <w:szCs w:val="22"/>
        </w:rPr>
        <w:t xml:space="preserve"> accessing the </w:t>
      </w:r>
      <w:proofErr w:type="spellStart"/>
      <w:r w:rsidR="00F67EE7" w:rsidRPr="009D1BDC">
        <w:rPr>
          <w:rFonts w:ascii="Arial Narrow" w:hAnsi="Arial Narrow" w:cs="Arial"/>
          <w:sz w:val="22"/>
          <w:szCs w:val="22"/>
        </w:rPr>
        <w:t>ERS</w:t>
      </w:r>
      <w:r w:rsidR="00310995">
        <w:rPr>
          <w:rFonts w:ascii="Arial Narrow" w:hAnsi="Arial Narrow" w:cs="Arial"/>
          <w:sz w:val="22"/>
          <w:szCs w:val="22"/>
        </w:rPr>
        <w:t>RI</w:t>
      </w:r>
      <w:proofErr w:type="spellEnd"/>
      <w:r w:rsidR="00F67EE7" w:rsidRPr="009D1BDC">
        <w:rPr>
          <w:rFonts w:ascii="Arial Narrow" w:hAnsi="Arial Narrow" w:cs="Arial"/>
          <w:sz w:val="22"/>
          <w:szCs w:val="22"/>
        </w:rPr>
        <w:t xml:space="preserve"> website at </w:t>
      </w:r>
      <w:hyperlink r:id="rId9" w:history="1">
        <w:r w:rsidR="0044063E" w:rsidRPr="009D1BDC">
          <w:rPr>
            <w:rStyle w:val="Hyperlink"/>
            <w:rFonts w:ascii="Arial Narrow" w:hAnsi="Arial Narrow" w:cs="Arial"/>
            <w:i/>
            <w:iCs/>
            <w:sz w:val="22"/>
            <w:szCs w:val="22"/>
          </w:rPr>
          <w:t>www.ersri.org</w:t>
        </w:r>
      </w:hyperlink>
      <w:r w:rsidR="0044063E" w:rsidRPr="009D1BDC">
        <w:rPr>
          <w:rFonts w:ascii="Arial Narrow" w:hAnsi="Arial Narrow" w:cs="Arial"/>
          <w:i/>
          <w:iCs/>
          <w:sz w:val="22"/>
          <w:szCs w:val="22"/>
          <w:u w:val="single"/>
        </w:rPr>
        <w:t xml:space="preserve"> </w:t>
      </w:r>
    </w:p>
    <w:p w:rsidR="0044063E" w:rsidRPr="009D1BDC" w:rsidRDefault="00505892" w:rsidP="00AB3B4B">
      <w:pPr>
        <w:pStyle w:val="Default"/>
        <w:spacing w:before="120" w:after="120"/>
        <w:jc w:val="both"/>
        <w:rPr>
          <w:rFonts w:ascii="Arial Narrow" w:hAnsi="Arial Narrow"/>
          <w:sz w:val="22"/>
          <w:szCs w:val="22"/>
        </w:rPr>
      </w:pPr>
      <w:r>
        <w:rPr>
          <w:rFonts w:ascii="Arial Narrow" w:hAnsi="Arial Narrow"/>
          <w:b/>
          <w:sz w:val="22"/>
          <w:szCs w:val="22"/>
        </w:rPr>
        <w:t>Benefits provided</w:t>
      </w:r>
      <w:r w:rsidR="0044063E" w:rsidRPr="009D1BDC">
        <w:rPr>
          <w:rFonts w:ascii="Arial Narrow" w:hAnsi="Arial Narrow"/>
          <w:sz w:val="22"/>
          <w:szCs w:val="22"/>
        </w:rPr>
        <w:t xml:space="preserve"> – For general employees prior to June 30, 2012 the plan provided retirement benefits equal to 2% of a member’s final average salary multiplied by the number of years of total service up to a maximum of 75%. Such benefits are available to members at least age 58 with 10 years of service or after 30 years of service at any age. Benefits accrued at June 30, 2012 </w:t>
      </w:r>
      <w:proofErr w:type="gramStart"/>
      <w:r w:rsidR="0044063E" w:rsidRPr="009D1BDC">
        <w:rPr>
          <w:rFonts w:ascii="Arial Narrow" w:hAnsi="Arial Narrow"/>
          <w:sz w:val="22"/>
          <w:szCs w:val="22"/>
        </w:rPr>
        <w:t>are protected</w:t>
      </w:r>
      <w:proofErr w:type="gramEnd"/>
      <w:r w:rsidR="0044063E" w:rsidRPr="009D1BDC">
        <w:rPr>
          <w:rFonts w:ascii="Arial Narrow" w:hAnsi="Arial Narrow"/>
          <w:sz w:val="22"/>
          <w:szCs w:val="22"/>
        </w:rPr>
        <w:t xml:space="preserve"> under the Rhode Island Retirement Security Act until it is exceeded by the member’s full years of service credit, including service after June 30, 2012, multiplied by the average of five consecutive years of compensation. Effective July 1, 2012 the retirement age will mirror the Social Security Normal Retirement Age not to exceed age 67. Members will receive a benefit accrual of 1.0% per year based on the five-year </w:t>
      </w:r>
      <w:proofErr w:type="gramStart"/>
      <w:r w:rsidR="0044063E" w:rsidRPr="009D1BDC">
        <w:rPr>
          <w:rFonts w:ascii="Arial Narrow" w:hAnsi="Arial Narrow"/>
          <w:sz w:val="22"/>
          <w:szCs w:val="22"/>
        </w:rPr>
        <w:t>average</w:t>
      </w:r>
      <w:proofErr w:type="gramEnd"/>
      <w:r w:rsidR="0044063E" w:rsidRPr="009D1BDC">
        <w:rPr>
          <w:rFonts w:ascii="Arial Narrow" w:hAnsi="Arial Narrow"/>
          <w:sz w:val="22"/>
          <w:szCs w:val="22"/>
        </w:rPr>
        <w:t xml:space="preserve"> compensation.</w:t>
      </w:r>
    </w:p>
    <w:p w:rsidR="0044063E" w:rsidRPr="009D1BDC" w:rsidRDefault="0044063E" w:rsidP="00AB3B4B">
      <w:pPr>
        <w:pStyle w:val="Default"/>
        <w:spacing w:before="120" w:after="120"/>
        <w:jc w:val="both"/>
        <w:rPr>
          <w:rFonts w:ascii="Arial Narrow" w:hAnsi="Arial Narrow"/>
          <w:sz w:val="22"/>
          <w:szCs w:val="22"/>
        </w:rPr>
      </w:pPr>
      <w:r w:rsidRPr="009D1BDC">
        <w:rPr>
          <w:rFonts w:ascii="Arial Narrow" w:hAnsi="Arial Narrow"/>
          <w:sz w:val="22"/>
          <w:szCs w:val="22"/>
        </w:rPr>
        <w:t>Joint and survivor options are available as well as the Service Retirement Allowance (</w:t>
      </w:r>
      <w:proofErr w:type="spellStart"/>
      <w:r w:rsidRPr="009D1BDC">
        <w:rPr>
          <w:rFonts w:ascii="Arial Narrow" w:hAnsi="Arial Narrow"/>
          <w:sz w:val="22"/>
          <w:szCs w:val="22"/>
        </w:rPr>
        <w:t>SRA</w:t>
      </w:r>
      <w:proofErr w:type="spellEnd"/>
      <w:r w:rsidRPr="009D1BDC">
        <w:rPr>
          <w:rFonts w:ascii="Arial Narrow" w:hAnsi="Arial Narrow"/>
          <w:sz w:val="22"/>
          <w:szCs w:val="22"/>
        </w:rPr>
        <w:t xml:space="preserve">) </w:t>
      </w:r>
      <w:proofErr w:type="gramStart"/>
      <w:r w:rsidRPr="009D1BDC">
        <w:rPr>
          <w:rFonts w:ascii="Arial Narrow" w:hAnsi="Arial Narrow"/>
          <w:sz w:val="22"/>
          <w:szCs w:val="22"/>
        </w:rPr>
        <w:t>Plus</w:t>
      </w:r>
      <w:proofErr w:type="gramEnd"/>
      <w:r w:rsidRPr="009D1BDC">
        <w:rPr>
          <w:rFonts w:ascii="Arial Narrow" w:hAnsi="Arial Narrow"/>
          <w:sz w:val="22"/>
          <w:szCs w:val="22"/>
        </w:rPr>
        <w:t xml:space="preserve"> option that provides for the payment of a larger benefit before the attainment of age sixty-two (62) and a reduced amount thereafter. The reduced amount is equal to the benefit before age sixty-two (62), including cost-of-living increases, minus the member's estimated social security benefit payable at age sixty-two (62).</w:t>
      </w:r>
    </w:p>
    <w:p w:rsidR="0044063E" w:rsidRDefault="0044063E" w:rsidP="00AB3B4B">
      <w:pPr>
        <w:pStyle w:val="Default"/>
        <w:spacing w:before="120" w:after="120"/>
        <w:jc w:val="both"/>
        <w:rPr>
          <w:rFonts w:ascii="Arial Narrow" w:hAnsi="Arial Narrow"/>
          <w:sz w:val="22"/>
          <w:szCs w:val="22"/>
        </w:rPr>
      </w:pPr>
      <w:r w:rsidRPr="009D1BDC">
        <w:rPr>
          <w:rFonts w:ascii="Arial Narrow" w:hAnsi="Arial Narrow"/>
          <w:sz w:val="22"/>
          <w:szCs w:val="22"/>
        </w:rPr>
        <w:t xml:space="preserve">Prior to June 30, 2012 police and fire personnel may retire at age 55 if they have 10 years of service or after 25 years of service at any age. An option may be elected to provide a </w:t>
      </w:r>
      <w:proofErr w:type="gramStart"/>
      <w:r w:rsidRPr="009D1BDC">
        <w:rPr>
          <w:rFonts w:ascii="Arial Narrow" w:hAnsi="Arial Narrow"/>
          <w:sz w:val="22"/>
          <w:szCs w:val="22"/>
        </w:rPr>
        <w:t>20 year</w:t>
      </w:r>
      <w:proofErr w:type="gramEnd"/>
      <w:r w:rsidRPr="009D1BDC">
        <w:rPr>
          <w:rFonts w:ascii="Arial Narrow" w:hAnsi="Arial Narrow"/>
          <w:sz w:val="22"/>
          <w:szCs w:val="22"/>
        </w:rPr>
        <w:t xml:space="preserve"> service pension with a benefit equal to 2.5% for each year of service up to a maximum of 75% for police and fire personnel. Benefits </w:t>
      </w:r>
      <w:proofErr w:type="gramStart"/>
      <w:r w:rsidRPr="009D1BDC">
        <w:rPr>
          <w:rFonts w:ascii="Arial Narrow" w:hAnsi="Arial Narrow"/>
          <w:sz w:val="22"/>
          <w:szCs w:val="22"/>
        </w:rPr>
        <w:t>are based</w:t>
      </w:r>
      <w:proofErr w:type="gramEnd"/>
      <w:r w:rsidRPr="009D1BDC">
        <w:rPr>
          <w:rFonts w:ascii="Arial Narrow" w:hAnsi="Arial Narrow"/>
          <w:sz w:val="22"/>
          <w:szCs w:val="22"/>
        </w:rPr>
        <w:t xml:space="preserve"> on the average of the highest three consecutive years' earnings, exclusive of overtime.</w:t>
      </w:r>
    </w:p>
    <w:p w:rsidR="0044063E" w:rsidRPr="009D1BDC" w:rsidRDefault="0044063E" w:rsidP="00AB3B4B">
      <w:pPr>
        <w:pStyle w:val="Default"/>
        <w:spacing w:before="120" w:after="120"/>
        <w:jc w:val="both"/>
        <w:rPr>
          <w:rFonts w:ascii="Arial Narrow" w:hAnsi="Arial Narrow"/>
          <w:sz w:val="22"/>
          <w:szCs w:val="22"/>
        </w:rPr>
      </w:pPr>
      <w:r w:rsidRPr="009D1BDC">
        <w:rPr>
          <w:rFonts w:ascii="Arial Narrow" w:hAnsi="Arial Narrow"/>
          <w:sz w:val="22"/>
          <w:szCs w:val="22"/>
        </w:rPr>
        <w:lastRenderedPageBreak/>
        <w:t>The new retirement age will be 55 years old with 25 years of total service or for members with five years of service but less than 25 years of service the new retirement age will mirror the Social Security Normal Retirement Age not to exceed 67. Police officers or firefighters, that are at least 45 years old, have 10 or more years of contributing service and are eligible to retire prior to age 52 under the law in effect on June 30, 2012, may retire at age 52.</w:t>
      </w:r>
    </w:p>
    <w:p w:rsidR="0044063E" w:rsidRPr="009D1BDC" w:rsidRDefault="0044063E" w:rsidP="00AB3B4B">
      <w:pPr>
        <w:pStyle w:val="Default"/>
        <w:spacing w:before="120" w:after="120"/>
        <w:jc w:val="both"/>
        <w:rPr>
          <w:rFonts w:ascii="Arial Narrow" w:hAnsi="Arial Narrow"/>
          <w:sz w:val="22"/>
          <w:szCs w:val="22"/>
        </w:rPr>
      </w:pPr>
      <w:r w:rsidRPr="009D1BDC">
        <w:rPr>
          <w:rFonts w:ascii="Arial Narrow" w:hAnsi="Arial Narrow"/>
          <w:sz w:val="22"/>
          <w:szCs w:val="22"/>
        </w:rPr>
        <w:t xml:space="preserve">As of June 30, </w:t>
      </w:r>
      <w:proofErr w:type="gramStart"/>
      <w:r w:rsidRPr="009D1BDC">
        <w:rPr>
          <w:rFonts w:ascii="Arial Narrow" w:hAnsi="Arial Narrow"/>
          <w:sz w:val="22"/>
          <w:szCs w:val="22"/>
        </w:rPr>
        <w:t>2012</w:t>
      </w:r>
      <w:proofErr w:type="gramEnd"/>
      <w:r w:rsidRPr="009D1BDC">
        <w:rPr>
          <w:rFonts w:ascii="Arial Narrow" w:hAnsi="Arial Narrow"/>
          <w:sz w:val="22"/>
          <w:szCs w:val="22"/>
        </w:rPr>
        <w:t xml:space="preserve"> members will continue to have a frozen benefit accrual of 2.0% per year for a standard 25 year with any age and out plan; 2.5% for a standard 20 year with any age and out plan. Effective July 1, 2012 the optional 20 and 25 year with retirement at any age plans </w:t>
      </w:r>
      <w:proofErr w:type="gramStart"/>
      <w:r w:rsidRPr="009D1BDC">
        <w:rPr>
          <w:rFonts w:ascii="Arial Narrow" w:hAnsi="Arial Narrow"/>
          <w:sz w:val="22"/>
          <w:szCs w:val="22"/>
        </w:rPr>
        <w:t>have been eliminated</w:t>
      </w:r>
      <w:proofErr w:type="gramEnd"/>
      <w:r w:rsidRPr="009D1BDC">
        <w:rPr>
          <w:rFonts w:ascii="Arial Narrow" w:hAnsi="Arial Narrow"/>
          <w:sz w:val="22"/>
          <w:szCs w:val="22"/>
        </w:rPr>
        <w:t xml:space="preserve">. The benefit accrual for all plans will be 2.0% per year based on the five-year average compensation, exclusive of overtime. Police and fire employees may retire with a reduced pension benefit if they have 20 years of service and are within five years of their retirement eligibility. The actuarially reduced benefit </w:t>
      </w:r>
      <w:proofErr w:type="gramStart"/>
      <w:r w:rsidRPr="009D1BDC">
        <w:rPr>
          <w:rFonts w:ascii="Arial Narrow" w:hAnsi="Arial Narrow"/>
          <w:sz w:val="22"/>
          <w:szCs w:val="22"/>
        </w:rPr>
        <w:t>will be calculated</w:t>
      </w:r>
      <w:proofErr w:type="gramEnd"/>
      <w:r w:rsidRPr="009D1BDC">
        <w:rPr>
          <w:rFonts w:ascii="Arial Narrow" w:hAnsi="Arial Narrow"/>
          <w:sz w:val="22"/>
          <w:szCs w:val="22"/>
        </w:rPr>
        <w:t xml:space="preserve"> based on how close the member is to the eligibility date that is prescribed in the Rhode Island Retirement Security Act.</w:t>
      </w:r>
    </w:p>
    <w:p w:rsidR="0044063E" w:rsidRDefault="0044063E" w:rsidP="00AB3B4B">
      <w:pPr>
        <w:pStyle w:val="Default"/>
        <w:spacing w:before="120" w:after="120"/>
        <w:jc w:val="both"/>
        <w:rPr>
          <w:rFonts w:ascii="Arial Narrow" w:hAnsi="Arial Narrow"/>
          <w:sz w:val="22"/>
          <w:szCs w:val="22"/>
        </w:rPr>
      </w:pPr>
      <w:r w:rsidRPr="009D1BDC">
        <w:rPr>
          <w:rFonts w:ascii="Arial Narrow" w:hAnsi="Arial Narrow"/>
          <w:sz w:val="22"/>
          <w:szCs w:val="22"/>
        </w:rPr>
        <w:t>The plan also provides survivor's benefits</w:t>
      </w:r>
      <w:proofErr w:type="gramStart"/>
      <w:r w:rsidRPr="009D1BDC">
        <w:rPr>
          <w:rFonts w:ascii="Arial Narrow" w:hAnsi="Arial Narrow"/>
          <w:sz w:val="22"/>
          <w:szCs w:val="22"/>
        </w:rPr>
        <w:t>;</w:t>
      </w:r>
      <w:proofErr w:type="gramEnd"/>
      <w:r w:rsidRPr="009D1BDC">
        <w:rPr>
          <w:rFonts w:ascii="Arial Narrow" w:hAnsi="Arial Narrow"/>
          <w:sz w:val="22"/>
          <w:szCs w:val="22"/>
        </w:rPr>
        <w:t xml:space="preserve"> and certain lump sum death benefits.</w:t>
      </w:r>
    </w:p>
    <w:p w:rsidR="00803299" w:rsidRPr="00803299" w:rsidRDefault="00803299" w:rsidP="00803299">
      <w:pPr>
        <w:pStyle w:val="Default"/>
        <w:spacing w:before="120" w:after="120"/>
        <w:jc w:val="both"/>
        <w:rPr>
          <w:rFonts w:ascii="Arial Narrow" w:hAnsi="Arial Narrow"/>
          <w:sz w:val="22"/>
          <w:szCs w:val="22"/>
        </w:rPr>
      </w:pPr>
      <w:r w:rsidRPr="00803299">
        <w:rPr>
          <w:rFonts w:ascii="Arial Narrow" w:hAnsi="Arial Narrow"/>
          <w:sz w:val="22"/>
          <w:szCs w:val="22"/>
        </w:rPr>
        <w:t xml:space="preserve">Plan members </w:t>
      </w:r>
      <w:proofErr w:type="gramStart"/>
      <w:r w:rsidRPr="00803299">
        <w:rPr>
          <w:rFonts w:ascii="Arial Narrow" w:hAnsi="Arial Narrow"/>
          <w:sz w:val="22"/>
          <w:szCs w:val="22"/>
        </w:rPr>
        <w:t>are vested</w:t>
      </w:r>
      <w:proofErr w:type="gramEnd"/>
      <w:r w:rsidRPr="00803299">
        <w:rPr>
          <w:rFonts w:ascii="Arial Narrow" w:hAnsi="Arial Narrow"/>
          <w:sz w:val="22"/>
          <w:szCs w:val="22"/>
        </w:rPr>
        <w:t xml:space="preserve"> after five years of service.</w:t>
      </w:r>
    </w:p>
    <w:p w:rsidR="0044063E" w:rsidRPr="009D1BDC" w:rsidRDefault="0044063E" w:rsidP="00AB3B4B">
      <w:pPr>
        <w:pStyle w:val="Default"/>
        <w:spacing w:before="120" w:after="120"/>
        <w:jc w:val="both"/>
        <w:rPr>
          <w:rFonts w:ascii="Arial Narrow" w:hAnsi="Arial Narrow"/>
          <w:sz w:val="22"/>
          <w:szCs w:val="22"/>
        </w:rPr>
      </w:pPr>
      <w:r w:rsidRPr="009D1BDC">
        <w:rPr>
          <w:rFonts w:ascii="Arial Narrow" w:hAnsi="Arial Narrow"/>
          <w:sz w:val="22"/>
          <w:szCs w:val="22"/>
        </w:rPr>
        <w:t xml:space="preserve">An optional cost-of-living provision </w:t>
      </w:r>
      <w:proofErr w:type="gramStart"/>
      <w:r w:rsidRPr="009D1BDC">
        <w:rPr>
          <w:rFonts w:ascii="Arial Narrow" w:hAnsi="Arial Narrow"/>
          <w:sz w:val="22"/>
          <w:szCs w:val="22"/>
        </w:rPr>
        <w:t>may be elected</w:t>
      </w:r>
      <w:proofErr w:type="gramEnd"/>
      <w:r w:rsidRPr="009D1BDC">
        <w:rPr>
          <w:rFonts w:ascii="Arial Narrow" w:hAnsi="Arial Narrow"/>
          <w:sz w:val="22"/>
          <w:szCs w:val="22"/>
        </w:rPr>
        <w:t xml:space="preserve"> for police and fire personnel and general employees. The Cost of Living Adjustment (COLA) </w:t>
      </w:r>
      <w:proofErr w:type="gramStart"/>
      <w:r w:rsidRPr="009D1BDC">
        <w:rPr>
          <w:rFonts w:ascii="Arial Narrow" w:hAnsi="Arial Narrow"/>
          <w:sz w:val="22"/>
          <w:szCs w:val="22"/>
        </w:rPr>
        <w:t>has been suspended</w:t>
      </w:r>
      <w:proofErr w:type="gramEnd"/>
      <w:r w:rsidRPr="009D1BDC">
        <w:rPr>
          <w:rFonts w:ascii="Arial Narrow" w:hAnsi="Arial Narrow"/>
          <w:sz w:val="22"/>
          <w:szCs w:val="22"/>
        </w:rPr>
        <w:t xml:space="preserve"> for any unit whose funding level is less than 80%. The COLA provision </w:t>
      </w:r>
      <w:proofErr w:type="gramStart"/>
      <w:r w:rsidRPr="009D1BDC">
        <w:rPr>
          <w:rFonts w:ascii="Arial Narrow" w:hAnsi="Arial Narrow"/>
          <w:sz w:val="22"/>
          <w:szCs w:val="22"/>
        </w:rPr>
        <w:t>can be reviewed</w:t>
      </w:r>
      <w:proofErr w:type="gramEnd"/>
      <w:r w:rsidRPr="009D1BDC">
        <w:rPr>
          <w:rFonts w:ascii="Arial Narrow" w:hAnsi="Arial Narrow"/>
          <w:sz w:val="22"/>
          <w:szCs w:val="22"/>
        </w:rPr>
        <w:t xml:space="preserve"> in a five-year interval. When the funding level of a plan exceeds </w:t>
      </w:r>
      <w:proofErr w:type="gramStart"/>
      <w:r w:rsidRPr="009D1BDC">
        <w:rPr>
          <w:rFonts w:ascii="Arial Narrow" w:hAnsi="Arial Narrow"/>
          <w:sz w:val="22"/>
          <w:szCs w:val="22"/>
        </w:rPr>
        <w:t>80%</w:t>
      </w:r>
      <w:proofErr w:type="gramEnd"/>
      <w:r w:rsidRPr="009D1BDC">
        <w:rPr>
          <w:rFonts w:ascii="Arial Narrow" w:hAnsi="Arial Narrow"/>
          <w:sz w:val="22"/>
          <w:szCs w:val="22"/>
        </w:rPr>
        <w:t xml:space="preserve"> funded eligible retirees may receive a COLA annually effective on their date of retirement plus one month.</w:t>
      </w:r>
    </w:p>
    <w:p w:rsidR="0044063E" w:rsidRPr="009D1BDC" w:rsidRDefault="0044063E" w:rsidP="00AB3B4B">
      <w:pPr>
        <w:pStyle w:val="Default"/>
        <w:spacing w:before="120" w:after="120"/>
        <w:jc w:val="both"/>
        <w:rPr>
          <w:rFonts w:ascii="Arial Narrow" w:hAnsi="Arial Narrow"/>
          <w:sz w:val="22"/>
          <w:szCs w:val="22"/>
        </w:rPr>
      </w:pPr>
      <w:r w:rsidRPr="009D1BDC">
        <w:rPr>
          <w:rFonts w:ascii="Arial Narrow" w:hAnsi="Arial Narrow"/>
          <w:sz w:val="22"/>
          <w:szCs w:val="22"/>
        </w:rPr>
        <w:t xml:space="preserve">The COLA </w:t>
      </w:r>
      <w:proofErr w:type="gramStart"/>
      <w:r w:rsidRPr="009D1BDC">
        <w:rPr>
          <w:rFonts w:ascii="Arial Narrow" w:hAnsi="Arial Narrow"/>
          <w:sz w:val="22"/>
          <w:szCs w:val="22"/>
        </w:rPr>
        <w:t>will be calculated</w:t>
      </w:r>
      <w:proofErr w:type="gramEnd"/>
      <w:r w:rsidRPr="009D1BDC">
        <w:rPr>
          <w:rFonts w:ascii="Arial Narrow" w:hAnsi="Arial Narrow"/>
          <w:sz w:val="22"/>
          <w:szCs w:val="22"/>
        </w:rPr>
        <w:t xml:space="preserve"> as the five (5) year smoothed investment rate of return less 5.50%, with a 0.00% floor and a 4.00% cap. For police and fire units, COLA </w:t>
      </w:r>
      <w:proofErr w:type="gramStart"/>
      <w:r w:rsidRPr="009D1BDC">
        <w:rPr>
          <w:rFonts w:ascii="Arial Narrow" w:hAnsi="Arial Narrow"/>
          <w:sz w:val="22"/>
          <w:szCs w:val="22"/>
        </w:rPr>
        <w:t>will be delayed</w:t>
      </w:r>
      <w:proofErr w:type="gramEnd"/>
      <w:r w:rsidRPr="009D1BDC">
        <w:rPr>
          <w:rFonts w:ascii="Arial Narrow" w:hAnsi="Arial Narrow"/>
          <w:sz w:val="22"/>
          <w:szCs w:val="22"/>
        </w:rPr>
        <w:t xml:space="preserve"> until the later of age 55 or three years after retirement. For general employee units, COLA </w:t>
      </w:r>
      <w:proofErr w:type="gramStart"/>
      <w:r w:rsidRPr="009D1BDC">
        <w:rPr>
          <w:rFonts w:ascii="Arial Narrow" w:hAnsi="Arial Narrow"/>
          <w:sz w:val="22"/>
          <w:szCs w:val="22"/>
        </w:rPr>
        <w:t>will be delayed</w:t>
      </w:r>
      <w:proofErr w:type="gramEnd"/>
      <w:r w:rsidRPr="009D1BDC">
        <w:rPr>
          <w:rFonts w:ascii="Arial Narrow" w:hAnsi="Arial Narrow"/>
          <w:sz w:val="22"/>
          <w:szCs w:val="22"/>
        </w:rPr>
        <w:t xml:space="preserve"> until the later of the Social Security Normal Retirement Age or three years after retirement. The COLA </w:t>
      </w:r>
      <w:proofErr w:type="gramStart"/>
      <w:r w:rsidRPr="009D1BDC">
        <w:rPr>
          <w:rFonts w:ascii="Arial Narrow" w:hAnsi="Arial Narrow"/>
          <w:sz w:val="22"/>
          <w:szCs w:val="22"/>
        </w:rPr>
        <w:t>will be applied</w:t>
      </w:r>
      <w:proofErr w:type="gramEnd"/>
      <w:r w:rsidRPr="009D1BDC">
        <w:rPr>
          <w:rFonts w:ascii="Arial Narrow" w:hAnsi="Arial Narrow"/>
          <w:sz w:val="22"/>
          <w:szCs w:val="22"/>
        </w:rPr>
        <w:t xml:space="preserve"> to the first $25,000 of benefits indexed annually.</w:t>
      </w:r>
    </w:p>
    <w:p w:rsidR="0044063E" w:rsidRPr="009D1BDC" w:rsidRDefault="0044063E" w:rsidP="00AB3B4B">
      <w:pPr>
        <w:pStyle w:val="Default"/>
        <w:spacing w:before="120" w:after="120"/>
        <w:jc w:val="both"/>
        <w:rPr>
          <w:rFonts w:ascii="Arial Narrow" w:hAnsi="Arial Narrow"/>
          <w:sz w:val="22"/>
          <w:szCs w:val="22"/>
        </w:rPr>
      </w:pPr>
      <w:r w:rsidRPr="009D1BDC">
        <w:rPr>
          <w:rFonts w:ascii="Arial Narrow" w:hAnsi="Arial Narrow"/>
          <w:sz w:val="22"/>
          <w:szCs w:val="22"/>
        </w:rPr>
        <w:t>The plan also provides nonservice-connected disability benefits after 5 years of service; service-connected disability pensions with no minimum service requirement.</w:t>
      </w:r>
    </w:p>
    <w:p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b/>
        </w:rPr>
        <w:t>Employees covered by benefit terms</w:t>
      </w:r>
      <w:r w:rsidRPr="009D1BDC">
        <w:rPr>
          <w:rFonts w:ascii="Arial Narrow" w:hAnsi="Arial Narrow" w:cs="Arial"/>
        </w:rPr>
        <w:t>.</w:t>
      </w:r>
    </w:p>
    <w:p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rPr>
        <w:t xml:space="preserve">At the June 30, 2013 valuation date, the following employees </w:t>
      </w:r>
      <w:proofErr w:type="gramStart"/>
      <w:r w:rsidRPr="009D1BDC">
        <w:rPr>
          <w:rFonts w:ascii="Arial Narrow" w:hAnsi="Arial Narrow" w:cs="Arial"/>
        </w:rPr>
        <w:t>were covered</w:t>
      </w:r>
      <w:proofErr w:type="gramEnd"/>
      <w:r w:rsidRPr="009D1BDC">
        <w:rPr>
          <w:rFonts w:ascii="Arial Narrow" w:hAnsi="Arial Narrow" w:cs="Arial"/>
        </w:rPr>
        <w:t xml:space="preserve"> by the benefit terms:</w:t>
      </w:r>
    </w:p>
    <w:p w:rsidR="00E02E49" w:rsidRPr="009D1BDC" w:rsidRDefault="00E02E49" w:rsidP="00E02E49">
      <w:pPr>
        <w:autoSpaceDE w:val="0"/>
        <w:autoSpaceDN w:val="0"/>
        <w:adjustRightInd w:val="0"/>
        <w:spacing w:after="0" w:line="240" w:lineRule="auto"/>
        <w:jc w:val="both"/>
        <w:rPr>
          <w:rFonts w:ascii="Arial Narrow" w:hAnsi="Arial Narrow" w:cs="Arial"/>
        </w:rPr>
      </w:pPr>
    </w:p>
    <w:tbl>
      <w:tblPr>
        <w:tblStyle w:val="TableGrid"/>
        <w:tblW w:w="0" w:type="auto"/>
        <w:jc w:val="center"/>
        <w:tblLook w:val="04A0" w:firstRow="1" w:lastRow="0" w:firstColumn="1" w:lastColumn="0" w:noHBand="0" w:noVBand="1"/>
      </w:tblPr>
      <w:tblGrid>
        <w:gridCol w:w="2649"/>
        <w:gridCol w:w="3548"/>
      </w:tblGrid>
      <w:tr w:rsidR="00E02E49" w:rsidRPr="009D1BDC" w:rsidTr="00421618">
        <w:trPr>
          <w:jc w:val="center"/>
        </w:trPr>
        <w:tc>
          <w:tcPr>
            <w:tcW w:w="2649" w:type="dxa"/>
          </w:tcPr>
          <w:p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Retirees and Beneficiaries</w:t>
            </w:r>
          </w:p>
        </w:tc>
        <w:tc>
          <w:tcPr>
            <w:tcW w:w="3548" w:type="dxa"/>
            <w:shd w:val="clear" w:color="auto" w:fill="FFFF00"/>
          </w:tcPr>
          <w:p w:rsidR="00E02E49" w:rsidRPr="003B65B3" w:rsidRDefault="003B65B3" w:rsidP="003B65B3">
            <w:pPr>
              <w:jc w:val="center"/>
              <w:rPr>
                <w:rFonts w:ascii="Arial Narrow" w:hAnsi="Arial Narrow"/>
                <w:sz w:val="20"/>
                <w:szCs w:val="20"/>
                <w:highlight w:val="yellow"/>
              </w:rPr>
            </w:pPr>
            <w:r w:rsidRPr="003B65B3">
              <w:rPr>
                <w:rFonts w:ascii="Arial Narrow" w:hAnsi="Arial Narrow"/>
                <w:sz w:val="20"/>
                <w:szCs w:val="20"/>
                <w:highlight w:val="yellow"/>
              </w:rPr>
              <w:t>From GRS employer specific valuation</w:t>
            </w:r>
          </w:p>
        </w:tc>
      </w:tr>
      <w:tr w:rsidR="00E02E49" w:rsidRPr="009D1BDC" w:rsidTr="00421618">
        <w:trPr>
          <w:jc w:val="center"/>
        </w:trPr>
        <w:tc>
          <w:tcPr>
            <w:tcW w:w="2649" w:type="dxa"/>
          </w:tcPr>
          <w:p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 xml:space="preserve">Inactive, </w:t>
            </w:r>
            <w:proofErr w:type="spellStart"/>
            <w:r w:rsidRPr="009D1BDC">
              <w:rPr>
                <w:rFonts w:ascii="Arial Narrow" w:hAnsi="Arial Narrow" w:cs="Arial"/>
              </w:rPr>
              <w:t>Nonretired</w:t>
            </w:r>
            <w:proofErr w:type="spellEnd"/>
            <w:r w:rsidRPr="009D1BDC">
              <w:rPr>
                <w:rFonts w:ascii="Arial Narrow" w:hAnsi="Arial Narrow" w:cs="Arial"/>
              </w:rPr>
              <w:t xml:space="preserve"> Members</w:t>
            </w:r>
          </w:p>
        </w:tc>
        <w:tc>
          <w:tcPr>
            <w:tcW w:w="3548" w:type="dxa"/>
            <w:shd w:val="clear" w:color="auto" w:fill="FFFF00"/>
          </w:tcPr>
          <w:p w:rsidR="00E02E49" w:rsidRPr="003B65B3" w:rsidRDefault="003B65B3" w:rsidP="003B65B3">
            <w:pPr>
              <w:jc w:val="center"/>
              <w:rPr>
                <w:rFonts w:ascii="Arial Narrow" w:hAnsi="Arial Narrow"/>
              </w:rPr>
            </w:pPr>
            <w:r w:rsidRPr="003B65B3">
              <w:rPr>
                <w:rFonts w:ascii="Arial Narrow" w:hAnsi="Arial Narrow"/>
                <w:highlight w:val="yellow"/>
              </w:rPr>
              <w:t>“</w:t>
            </w:r>
          </w:p>
        </w:tc>
      </w:tr>
      <w:tr w:rsidR="003B65B3" w:rsidRPr="009D1BDC" w:rsidTr="00421618">
        <w:trPr>
          <w:jc w:val="center"/>
        </w:trPr>
        <w:tc>
          <w:tcPr>
            <w:tcW w:w="2649" w:type="dxa"/>
          </w:tcPr>
          <w:p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Active Members</w:t>
            </w:r>
          </w:p>
        </w:tc>
        <w:tc>
          <w:tcPr>
            <w:tcW w:w="3548" w:type="dxa"/>
            <w:shd w:val="clear" w:color="auto" w:fill="FFFF00"/>
          </w:tcPr>
          <w:p w:rsidR="003B65B3" w:rsidRPr="003B65B3" w:rsidRDefault="003B65B3" w:rsidP="004B136E">
            <w:pPr>
              <w:jc w:val="center"/>
              <w:rPr>
                <w:rFonts w:ascii="Arial Narrow" w:hAnsi="Arial Narrow"/>
              </w:rPr>
            </w:pPr>
            <w:r w:rsidRPr="003B65B3">
              <w:rPr>
                <w:rFonts w:ascii="Arial Narrow" w:hAnsi="Arial Narrow"/>
                <w:highlight w:val="yellow"/>
              </w:rPr>
              <w:t>“</w:t>
            </w:r>
          </w:p>
        </w:tc>
      </w:tr>
      <w:tr w:rsidR="003B65B3" w:rsidRPr="009D1BDC" w:rsidTr="00421618">
        <w:trPr>
          <w:jc w:val="center"/>
        </w:trPr>
        <w:tc>
          <w:tcPr>
            <w:tcW w:w="2649" w:type="dxa"/>
          </w:tcPr>
          <w:p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Total</w:t>
            </w:r>
          </w:p>
        </w:tc>
        <w:tc>
          <w:tcPr>
            <w:tcW w:w="3548" w:type="dxa"/>
            <w:shd w:val="clear" w:color="auto" w:fill="FFFF00"/>
          </w:tcPr>
          <w:p w:rsidR="003B65B3" w:rsidRPr="003B65B3" w:rsidRDefault="003B65B3" w:rsidP="004B136E">
            <w:pPr>
              <w:jc w:val="center"/>
              <w:rPr>
                <w:rFonts w:ascii="Arial Narrow" w:hAnsi="Arial Narrow"/>
              </w:rPr>
            </w:pPr>
            <w:r w:rsidRPr="003B65B3">
              <w:rPr>
                <w:rFonts w:ascii="Arial Narrow" w:hAnsi="Arial Narrow"/>
                <w:highlight w:val="yellow"/>
              </w:rPr>
              <w:t>“</w:t>
            </w:r>
          </w:p>
        </w:tc>
      </w:tr>
    </w:tbl>
    <w:p w:rsidR="00803299" w:rsidRDefault="00803299" w:rsidP="00E02E49">
      <w:pPr>
        <w:autoSpaceDE w:val="0"/>
        <w:autoSpaceDN w:val="0"/>
        <w:adjustRightInd w:val="0"/>
        <w:spacing w:after="0" w:line="240" w:lineRule="auto"/>
        <w:jc w:val="both"/>
        <w:rPr>
          <w:rFonts w:ascii="Arial Narrow" w:hAnsi="Arial Narrow" w:cs="Arial"/>
          <w:b/>
        </w:rPr>
      </w:pPr>
    </w:p>
    <w:p w:rsidR="0022196E" w:rsidRPr="005B5F87" w:rsidRDefault="00E02E49" w:rsidP="00505892">
      <w:pPr>
        <w:autoSpaceDE w:val="0"/>
        <w:autoSpaceDN w:val="0"/>
        <w:adjustRightInd w:val="0"/>
        <w:spacing w:after="0" w:line="240" w:lineRule="auto"/>
        <w:jc w:val="both"/>
        <w:rPr>
          <w:rFonts w:ascii="Arial Narrow" w:hAnsi="Arial Narrow"/>
        </w:rPr>
      </w:pPr>
      <w:r w:rsidRPr="009D1BDC">
        <w:rPr>
          <w:rFonts w:ascii="Arial Narrow" w:hAnsi="Arial Narrow" w:cs="Arial"/>
          <w:b/>
        </w:rPr>
        <w:t>Contributions</w:t>
      </w:r>
      <w:r w:rsidRPr="009D1BDC">
        <w:rPr>
          <w:rFonts w:ascii="Arial Narrow" w:hAnsi="Arial Narrow" w:cs="Arial"/>
        </w:rPr>
        <w:t xml:space="preserve"> </w:t>
      </w:r>
      <w:r w:rsidR="00803299">
        <w:rPr>
          <w:rFonts w:ascii="Arial Narrow" w:hAnsi="Arial Narrow" w:cs="Arial"/>
        </w:rPr>
        <w:t>- T</w:t>
      </w:r>
      <w:r w:rsidR="0022196E" w:rsidRPr="005B5F87">
        <w:rPr>
          <w:rFonts w:ascii="Arial Narrow" w:hAnsi="Arial Narrow"/>
        </w:rPr>
        <w:t xml:space="preserve">he amount of employee and employer contributions </w:t>
      </w:r>
      <w:proofErr w:type="gramStart"/>
      <w:r w:rsidR="0022196E" w:rsidRPr="005B5F87">
        <w:rPr>
          <w:rFonts w:ascii="Arial Narrow" w:hAnsi="Arial Narrow"/>
        </w:rPr>
        <w:t>have been established</w:t>
      </w:r>
      <w:proofErr w:type="gramEnd"/>
      <w:r w:rsidR="0022196E" w:rsidRPr="005B5F87">
        <w:rPr>
          <w:rFonts w:ascii="Arial Narrow" w:hAnsi="Arial Narrow"/>
        </w:rPr>
        <w:t xml:space="preserve"> under Rhode Island General Law Chapter 45-21.  General employees are required to contribute 1% </w:t>
      </w:r>
      <w:r w:rsidR="0022196E" w:rsidRPr="005B5F87">
        <w:rPr>
          <w:rFonts w:ascii="Arial Narrow" w:hAnsi="Arial Narrow"/>
          <w:highlight w:val="yellow"/>
        </w:rPr>
        <w:t>(employer should report 2% if opted to provide a COLA)</w:t>
      </w:r>
      <w:r w:rsidR="0022196E" w:rsidRPr="005B5F87">
        <w:rPr>
          <w:rFonts w:ascii="Arial Narrow" w:hAnsi="Arial Narrow"/>
        </w:rPr>
        <w:t xml:space="preserve"> of their salaries.   Public safety employees are required to contribute 7% </w:t>
      </w:r>
      <w:r w:rsidR="0022196E" w:rsidRPr="005B5F87">
        <w:rPr>
          <w:rFonts w:ascii="Arial Narrow" w:hAnsi="Arial Narrow"/>
          <w:highlight w:val="yellow"/>
        </w:rPr>
        <w:t>(employer should report 8% if opted to provide a COLA)</w:t>
      </w:r>
      <w:r w:rsidR="0022196E" w:rsidRPr="005B5F87">
        <w:rPr>
          <w:rFonts w:ascii="Arial Narrow" w:hAnsi="Arial Narrow"/>
        </w:rPr>
        <w:t xml:space="preserve"> of their salaries.  The (</w:t>
      </w:r>
      <w:r w:rsidR="0022196E" w:rsidRPr="005B5F87">
        <w:rPr>
          <w:rFonts w:ascii="Arial Narrow" w:hAnsi="Arial Narrow"/>
          <w:highlight w:val="yellow"/>
        </w:rPr>
        <w:t>name of employer</w:t>
      </w:r>
      <w:r w:rsidR="0022196E" w:rsidRPr="005B5F87">
        <w:rPr>
          <w:rFonts w:ascii="Arial Narrow" w:hAnsi="Arial Narrow"/>
        </w:rPr>
        <w:t xml:space="preserve">) contributes at a rate of covered employee payroll as determined by an independent actuary on an annual basis.  The General Assembly can amend the amount of these contribution requirements. </w:t>
      </w:r>
      <w:r w:rsidR="00505892">
        <w:rPr>
          <w:rFonts w:ascii="Arial Narrow" w:hAnsi="Arial Narrow"/>
        </w:rPr>
        <w:t xml:space="preserve"> </w:t>
      </w:r>
      <w:r w:rsidR="0022196E" w:rsidRPr="005B5F87">
        <w:rPr>
          <w:rFonts w:ascii="Arial Narrow" w:hAnsi="Arial Narrow"/>
        </w:rPr>
        <w:t>The (</w:t>
      </w:r>
      <w:r w:rsidR="0022196E" w:rsidRPr="005B5F87">
        <w:rPr>
          <w:rFonts w:ascii="Arial Narrow" w:hAnsi="Arial Narrow"/>
          <w:highlight w:val="yellow"/>
        </w:rPr>
        <w:t>name of employer</w:t>
      </w:r>
      <w:r w:rsidR="0022196E" w:rsidRPr="005B5F87">
        <w:rPr>
          <w:rFonts w:ascii="Arial Narrow" w:hAnsi="Arial Narrow"/>
        </w:rPr>
        <w:t>) contributed $</w:t>
      </w:r>
      <w:proofErr w:type="spellStart"/>
      <w:r w:rsidR="0022196E" w:rsidRPr="005B5F87">
        <w:rPr>
          <w:rFonts w:ascii="Arial Narrow" w:hAnsi="Arial Narrow"/>
          <w:highlight w:val="yellow"/>
        </w:rPr>
        <w:t>X</w:t>
      </w:r>
      <w:proofErr w:type="gramStart"/>
      <w:r w:rsidR="0022196E" w:rsidRPr="005B5F87">
        <w:rPr>
          <w:rFonts w:ascii="Arial Narrow" w:hAnsi="Arial Narrow"/>
          <w:highlight w:val="yellow"/>
        </w:rPr>
        <w:t>,XXX,XXX</w:t>
      </w:r>
      <w:proofErr w:type="spellEnd"/>
      <w:proofErr w:type="gramEnd"/>
      <w:r w:rsidR="0022196E" w:rsidRPr="005B5F87">
        <w:rPr>
          <w:rFonts w:ascii="Arial Narrow" w:hAnsi="Arial Narrow"/>
        </w:rPr>
        <w:t xml:space="preserve"> in the year ended June 30, 2015</w:t>
      </w:r>
      <w:r w:rsidR="00505892">
        <w:rPr>
          <w:rFonts w:ascii="Arial Narrow" w:hAnsi="Arial Narrow"/>
        </w:rPr>
        <w:t xml:space="preserve"> which was </w:t>
      </w:r>
      <w:r w:rsidR="00505892" w:rsidRPr="00505892">
        <w:rPr>
          <w:rFonts w:ascii="Arial Narrow" w:hAnsi="Arial Narrow"/>
          <w:highlight w:val="yellow"/>
        </w:rPr>
        <w:t>XX%</w:t>
      </w:r>
      <w:r w:rsidR="00505892">
        <w:rPr>
          <w:rFonts w:ascii="Arial Narrow" w:hAnsi="Arial Narrow"/>
        </w:rPr>
        <w:t xml:space="preserve"> of annual covered payroll</w:t>
      </w:r>
      <w:r w:rsidR="0022196E" w:rsidRPr="005B5F87">
        <w:rPr>
          <w:rFonts w:ascii="Arial Narrow" w:hAnsi="Arial Narrow"/>
        </w:rPr>
        <w:t>.</w:t>
      </w:r>
    </w:p>
    <w:p w:rsidR="0022196E" w:rsidRPr="009D1BDC" w:rsidRDefault="0022196E" w:rsidP="00E02E49">
      <w:pPr>
        <w:autoSpaceDE w:val="0"/>
        <w:autoSpaceDN w:val="0"/>
        <w:adjustRightInd w:val="0"/>
        <w:spacing w:after="0" w:line="240" w:lineRule="auto"/>
        <w:jc w:val="both"/>
        <w:rPr>
          <w:rFonts w:ascii="Arial Narrow" w:hAnsi="Arial Narrow" w:cs="Arial"/>
        </w:rPr>
      </w:pPr>
    </w:p>
    <w:p w:rsidR="00845A9F" w:rsidRPr="009D1BDC" w:rsidRDefault="00F67EE7" w:rsidP="003B65B3">
      <w:pPr>
        <w:autoSpaceDE w:val="0"/>
        <w:autoSpaceDN w:val="0"/>
        <w:adjustRightInd w:val="0"/>
        <w:spacing w:after="0" w:line="240" w:lineRule="auto"/>
        <w:jc w:val="both"/>
        <w:rPr>
          <w:rFonts w:ascii="Arial Narrow" w:hAnsi="Arial Narrow" w:cs="Arial"/>
        </w:rPr>
      </w:pPr>
      <w:r w:rsidRPr="009D1BDC">
        <w:rPr>
          <w:rFonts w:ascii="Arial Narrow" w:hAnsi="Arial Narrow" w:cs="Arial"/>
          <w:b/>
        </w:rPr>
        <w:t>Net Pension Liability</w:t>
      </w:r>
      <w:r w:rsidR="00352BEA">
        <w:rPr>
          <w:rFonts w:ascii="Arial Narrow" w:hAnsi="Arial Narrow" w:cs="Arial"/>
        </w:rPr>
        <w:t xml:space="preserve"> </w:t>
      </w:r>
      <w:r w:rsidR="00352BEA" w:rsidRPr="00352BEA">
        <w:rPr>
          <w:rFonts w:ascii="Arial Narrow" w:hAnsi="Arial Narrow" w:cs="Arial"/>
          <w:b/>
        </w:rPr>
        <w:t>(Asset)</w:t>
      </w:r>
      <w:r w:rsidR="00352BEA">
        <w:rPr>
          <w:rFonts w:ascii="Arial Narrow" w:hAnsi="Arial Narrow" w:cs="Arial"/>
        </w:rPr>
        <w:t xml:space="preserve"> - </w:t>
      </w:r>
      <w:r w:rsidR="007A0EC1">
        <w:rPr>
          <w:rFonts w:ascii="Arial Narrow" w:hAnsi="Arial Narrow" w:cs="Arial"/>
        </w:rPr>
        <w:t>T</w:t>
      </w:r>
      <w:r w:rsidR="00845A9F" w:rsidRPr="009D1BDC">
        <w:rPr>
          <w:rFonts w:ascii="Arial Narrow" w:hAnsi="Arial Narrow" w:cs="Arial"/>
        </w:rPr>
        <w:t xml:space="preserve">he total pension liability </w:t>
      </w:r>
      <w:proofErr w:type="gramStart"/>
      <w:r w:rsidR="00845A9F" w:rsidRPr="009D1BDC">
        <w:rPr>
          <w:rFonts w:ascii="Arial Narrow" w:hAnsi="Arial Narrow" w:cs="Arial"/>
        </w:rPr>
        <w:t>was determined</w:t>
      </w:r>
      <w:proofErr w:type="gramEnd"/>
      <w:r w:rsidR="00845A9F" w:rsidRPr="009D1BDC">
        <w:rPr>
          <w:rFonts w:ascii="Arial Narrow" w:hAnsi="Arial Narrow" w:cs="Arial"/>
        </w:rPr>
        <w:t xml:space="preserve"> by actuarial valuations performed as of June 30, 2013 and rolled forward to June 30, 2014, using the following actuarial assumptions, applied to all periods included in the measurement.</w:t>
      </w:r>
    </w:p>
    <w:p w:rsidR="007A0EC1" w:rsidRDefault="007A0EC1" w:rsidP="007A0EC1">
      <w:pPr>
        <w:pStyle w:val="NoSpacing"/>
      </w:pPr>
    </w:p>
    <w:p w:rsidR="00880ECA" w:rsidRDefault="00880ECA" w:rsidP="00880ECA">
      <w:pPr>
        <w:pStyle w:val="Default"/>
      </w:pPr>
    </w:p>
    <w:p w:rsidR="00505892" w:rsidRDefault="00505892" w:rsidP="00880ECA">
      <w:pPr>
        <w:pStyle w:val="Default"/>
      </w:pPr>
    </w:p>
    <w:p w:rsidR="00505892" w:rsidRDefault="00505892" w:rsidP="00880ECA">
      <w:pPr>
        <w:pStyle w:val="Default"/>
      </w:pPr>
    </w:p>
    <w:p w:rsidR="00505892" w:rsidRDefault="00505892" w:rsidP="00880ECA">
      <w:pPr>
        <w:pStyle w:val="Default"/>
      </w:pPr>
    </w:p>
    <w:p w:rsidR="00505892" w:rsidRPr="00880ECA" w:rsidRDefault="00505892" w:rsidP="00880ECA">
      <w:pPr>
        <w:pStyle w:val="Default"/>
      </w:pPr>
    </w:p>
    <w:tbl>
      <w:tblPr>
        <w:tblStyle w:val="TableGrid"/>
        <w:tblW w:w="0" w:type="auto"/>
        <w:tblLook w:val="04A0" w:firstRow="1" w:lastRow="0" w:firstColumn="1" w:lastColumn="0" w:noHBand="0" w:noVBand="1"/>
      </w:tblPr>
      <w:tblGrid>
        <w:gridCol w:w="2538"/>
        <w:gridCol w:w="7038"/>
      </w:tblGrid>
      <w:tr w:rsidR="006C7C83" w:rsidRPr="009D1BDC" w:rsidTr="00E02E49">
        <w:tc>
          <w:tcPr>
            <w:tcW w:w="9576" w:type="dxa"/>
            <w:gridSpan w:val="2"/>
          </w:tcPr>
          <w:p w:rsidR="003B65B3" w:rsidRDefault="006C7C83" w:rsidP="003B65B3">
            <w:pPr>
              <w:pStyle w:val="Default"/>
              <w:jc w:val="center"/>
              <w:rPr>
                <w:rFonts w:ascii="Arial Narrow" w:hAnsi="Arial Narrow"/>
                <w:b/>
                <w:sz w:val="22"/>
                <w:szCs w:val="22"/>
              </w:rPr>
            </w:pPr>
            <w:r w:rsidRPr="009D1BDC">
              <w:rPr>
                <w:rFonts w:ascii="Arial Narrow" w:hAnsi="Arial Narrow"/>
                <w:b/>
                <w:sz w:val="22"/>
                <w:szCs w:val="22"/>
              </w:rPr>
              <w:lastRenderedPageBreak/>
              <w:t>Summary of Actuarial Assumptions Used in the Valuations to determine the Net Pension</w:t>
            </w:r>
            <w:r w:rsidR="003B65B3">
              <w:rPr>
                <w:rFonts w:ascii="Arial Narrow" w:hAnsi="Arial Narrow"/>
                <w:b/>
                <w:sz w:val="22"/>
                <w:szCs w:val="22"/>
              </w:rPr>
              <w:t xml:space="preserve"> </w:t>
            </w:r>
            <w:r w:rsidRPr="009D1BDC">
              <w:rPr>
                <w:rFonts w:ascii="Arial Narrow" w:hAnsi="Arial Narrow"/>
                <w:b/>
                <w:sz w:val="22"/>
                <w:szCs w:val="22"/>
              </w:rPr>
              <w:t>Liability</w:t>
            </w:r>
            <w:r w:rsidR="003B65B3">
              <w:rPr>
                <w:rFonts w:ascii="Arial Narrow" w:hAnsi="Arial Narrow"/>
                <w:b/>
                <w:sz w:val="22"/>
                <w:szCs w:val="22"/>
              </w:rPr>
              <w:t xml:space="preserve"> at the </w:t>
            </w:r>
          </w:p>
          <w:p w:rsidR="006C7C83" w:rsidRDefault="006C7C83" w:rsidP="003B65B3">
            <w:pPr>
              <w:pStyle w:val="Default"/>
              <w:jc w:val="center"/>
              <w:rPr>
                <w:rFonts w:ascii="Arial Narrow" w:hAnsi="Arial Narrow"/>
                <w:b/>
                <w:sz w:val="22"/>
                <w:szCs w:val="22"/>
              </w:rPr>
            </w:pPr>
            <w:r w:rsidRPr="009D1BDC">
              <w:rPr>
                <w:rFonts w:ascii="Arial Narrow" w:hAnsi="Arial Narrow"/>
                <w:b/>
                <w:sz w:val="22"/>
                <w:szCs w:val="22"/>
              </w:rPr>
              <w:t>June 30, 201</w:t>
            </w:r>
            <w:r w:rsidR="003B65B3">
              <w:rPr>
                <w:rFonts w:ascii="Arial Narrow" w:hAnsi="Arial Narrow"/>
                <w:b/>
                <w:sz w:val="22"/>
                <w:szCs w:val="22"/>
              </w:rPr>
              <w:t xml:space="preserve">4 measurement date (June 30, 2013 </w:t>
            </w:r>
            <w:r w:rsidRPr="009D1BDC">
              <w:rPr>
                <w:rFonts w:ascii="Arial Narrow" w:hAnsi="Arial Narrow"/>
                <w:b/>
                <w:sz w:val="22"/>
                <w:szCs w:val="22"/>
              </w:rPr>
              <w:t xml:space="preserve">valuation </w:t>
            </w:r>
            <w:r w:rsidR="003B65B3">
              <w:rPr>
                <w:rFonts w:ascii="Arial Narrow" w:hAnsi="Arial Narrow"/>
                <w:b/>
                <w:sz w:val="22"/>
                <w:szCs w:val="22"/>
              </w:rPr>
              <w:t xml:space="preserve">rolled forward to </w:t>
            </w:r>
            <w:r w:rsidRPr="009D1BDC">
              <w:rPr>
                <w:rFonts w:ascii="Arial Narrow" w:hAnsi="Arial Narrow"/>
                <w:b/>
                <w:sz w:val="22"/>
                <w:szCs w:val="22"/>
              </w:rPr>
              <w:t>June 30, 2014</w:t>
            </w:r>
            <w:r w:rsidR="003B65B3">
              <w:rPr>
                <w:rFonts w:ascii="Arial Narrow" w:hAnsi="Arial Narrow"/>
                <w:b/>
                <w:sz w:val="22"/>
                <w:szCs w:val="22"/>
              </w:rPr>
              <w:t>)</w:t>
            </w:r>
          </w:p>
          <w:p w:rsidR="00E02E49" w:rsidRPr="009D1BDC" w:rsidRDefault="00E02E49" w:rsidP="003B65B3">
            <w:pPr>
              <w:pStyle w:val="Default"/>
              <w:jc w:val="center"/>
              <w:rPr>
                <w:rFonts w:ascii="Arial Narrow" w:hAnsi="Arial Narrow"/>
                <w:b/>
                <w:sz w:val="22"/>
                <w:szCs w:val="22"/>
              </w:rPr>
            </w:pPr>
          </w:p>
        </w:tc>
      </w:tr>
      <w:tr w:rsidR="00CE10E5" w:rsidRPr="00906EAA" w:rsidTr="00906EAA">
        <w:tc>
          <w:tcPr>
            <w:tcW w:w="2538" w:type="dxa"/>
          </w:tcPr>
          <w:p w:rsidR="00CE10E5" w:rsidRPr="00906EAA" w:rsidRDefault="00CE10E5" w:rsidP="00AB3B4B">
            <w:pPr>
              <w:jc w:val="both"/>
              <w:rPr>
                <w:rFonts w:ascii="Arial Narrow" w:hAnsi="Arial Narrow"/>
                <w:sz w:val="20"/>
                <w:szCs w:val="20"/>
              </w:rPr>
            </w:pPr>
            <w:r w:rsidRPr="00906EAA">
              <w:rPr>
                <w:rFonts w:ascii="Arial Narrow" w:hAnsi="Arial Narrow"/>
                <w:sz w:val="20"/>
                <w:szCs w:val="20"/>
              </w:rPr>
              <w:t>Actuarial Cost Method</w:t>
            </w:r>
          </w:p>
          <w:p w:rsidR="00E02E49" w:rsidRPr="00906EAA" w:rsidRDefault="00E02E49" w:rsidP="00AB3B4B">
            <w:pPr>
              <w:jc w:val="both"/>
              <w:rPr>
                <w:rFonts w:ascii="Arial Narrow" w:hAnsi="Arial Narrow"/>
                <w:sz w:val="20"/>
                <w:szCs w:val="20"/>
              </w:rPr>
            </w:pPr>
          </w:p>
        </w:tc>
        <w:tc>
          <w:tcPr>
            <w:tcW w:w="7038" w:type="dxa"/>
          </w:tcPr>
          <w:p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Entry Age Normal - the Individual Entry Age Actuarial Cost methodology is used. </w:t>
            </w:r>
          </w:p>
        </w:tc>
      </w:tr>
      <w:tr w:rsidR="00CE10E5" w:rsidRPr="00906EAA" w:rsidTr="00906EAA">
        <w:tc>
          <w:tcPr>
            <w:tcW w:w="2538" w:type="dxa"/>
          </w:tcPr>
          <w:p w:rsidR="00CE10E5" w:rsidRPr="00906EAA" w:rsidRDefault="00CE10E5" w:rsidP="00AB3B4B">
            <w:pPr>
              <w:jc w:val="both"/>
              <w:rPr>
                <w:rFonts w:ascii="Arial Narrow" w:hAnsi="Arial Narrow"/>
                <w:sz w:val="20"/>
                <w:szCs w:val="20"/>
              </w:rPr>
            </w:pPr>
            <w:r w:rsidRPr="00906EAA">
              <w:rPr>
                <w:rFonts w:ascii="Arial Narrow" w:hAnsi="Arial Narrow"/>
                <w:sz w:val="20"/>
                <w:szCs w:val="20"/>
              </w:rPr>
              <w:t>Amortization Method</w:t>
            </w:r>
          </w:p>
          <w:p w:rsidR="00E02E49" w:rsidRPr="00906EAA" w:rsidRDefault="00E02E49" w:rsidP="00AB3B4B">
            <w:pPr>
              <w:jc w:val="both"/>
              <w:rPr>
                <w:rFonts w:ascii="Arial Narrow" w:hAnsi="Arial Narrow"/>
                <w:sz w:val="20"/>
                <w:szCs w:val="20"/>
              </w:rPr>
            </w:pPr>
          </w:p>
        </w:tc>
        <w:tc>
          <w:tcPr>
            <w:tcW w:w="7038" w:type="dxa"/>
          </w:tcPr>
          <w:p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Level Percent of Payroll – Closed </w:t>
            </w:r>
          </w:p>
        </w:tc>
      </w:tr>
      <w:tr w:rsidR="00CE10E5" w:rsidRPr="00906EAA" w:rsidTr="00906EAA">
        <w:tc>
          <w:tcPr>
            <w:tcW w:w="2538" w:type="dxa"/>
          </w:tcPr>
          <w:p w:rsidR="00CE10E5" w:rsidRPr="00906EAA" w:rsidRDefault="00CE10E5" w:rsidP="00E02E49">
            <w:pPr>
              <w:rPr>
                <w:rFonts w:ascii="Arial Narrow" w:hAnsi="Arial Narrow"/>
                <w:sz w:val="20"/>
                <w:szCs w:val="20"/>
              </w:rPr>
            </w:pPr>
            <w:r w:rsidRPr="00906EAA">
              <w:rPr>
                <w:rFonts w:ascii="Arial Narrow" w:hAnsi="Arial Narrow"/>
                <w:sz w:val="20"/>
                <w:szCs w:val="20"/>
              </w:rPr>
              <w:t>Equivalent Single Remaining Amortization Period</w:t>
            </w:r>
          </w:p>
          <w:p w:rsidR="00E02E49" w:rsidRPr="00906EAA" w:rsidRDefault="00E02E49" w:rsidP="00E02E49">
            <w:pPr>
              <w:rPr>
                <w:rFonts w:ascii="Arial Narrow" w:hAnsi="Arial Narrow"/>
                <w:sz w:val="20"/>
                <w:szCs w:val="20"/>
              </w:rPr>
            </w:pPr>
          </w:p>
        </w:tc>
        <w:tc>
          <w:tcPr>
            <w:tcW w:w="7038" w:type="dxa"/>
          </w:tcPr>
          <w:p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21 years at June 30, 2014 </w:t>
            </w:r>
          </w:p>
        </w:tc>
      </w:tr>
      <w:tr w:rsidR="00CE10E5" w:rsidRPr="00906EAA" w:rsidTr="00335527">
        <w:trPr>
          <w:trHeight w:val="404"/>
        </w:trPr>
        <w:tc>
          <w:tcPr>
            <w:tcW w:w="2538" w:type="dxa"/>
          </w:tcPr>
          <w:p w:rsidR="00CE10E5" w:rsidRPr="00906EAA" w:rsidRDefault="00335527" w:rsidP="00AB3B4B">
            <w:pPr>
              <w:jc w:val="both"/>
              <w:rPr>
                <w:rFonts w:ascii="Arial Narrow" w:hAnsi="Arial Narrow"/>
                <w:sz w:val="20"/>
                <w:szCs w:val="20"/>
              </w:rPr>
            </w:pPr>
            <w:r w:rsidRPr="00906EAA">
              <w:rPr>
                <w:rFonts w:ascii="Arial Narrow" w:hAnsi="Arial Narrow"/>
                <w:sz w:val="20"/>
                <w:szCs w:val="20"/>
              </w:rPr>
              <w:t>Actuarial</w:t>
            </w:r>
            <w:r>
              <w:rPr>
                <w:rFonts w:ascii="Arial Narrow" w:hAnsi="Arial Narrow"/>
                <w:sz w:val="20"/>
                <w:szCs w:val="20"/>
              </w:rPr>
              <w:t xml:space="preserve"> A</w:t>
            </w:r>
            <w:r w:rsidRPr="00906EAA">
              <w:rPr>
                <w:rFonts w:ascii="Arial Narrow" w:hAnsi="Arial Narrow"/>
                <w:sz w:val="20"/>
                <w:szCs w:val="20"/>
              </w:rPr>
              <w:t>ssumptions</w:t>
            </w:r>
          </w:p>
        </w:tc>
        <w:tc>
          <w:tcPr>
            <w:tcW w:w="7038" w:type="dxa"/>
          </w:tcPr>
          <w:p w:rsidR="00CE10E5" w:rsidRPr="00906EAA" w:rsidRDefault="00CE10E5" w:rsidP="00AB3B4B">
            <w:pPr>
              <w:pStyle w:val="CM28"/>
              <w:spacing w:after="240" w:line="240" w:lineRule="atLeast"/>
              <w:ind w:right="162"/>
              <w:jc w:val="both"/>
              <w:rPr>
                <w:rFonts w:ascii="Arial Narrow" w:hAnsi="Arial Narrow" w:cs="Arial"/>
                <w:sz w:val="20"/>
                <w:szCs w:val="20"/>
              </w:rPr>
            </w:pPr>
          </w:p>
        </w:tc>
      </w:tr>
      <w:tr w:rsidR="00CE10E5" w:rsidRPr="00906EAA" w:rsidTr="00906EAA">
        <w:tc>
          <w:tcPr>
            <w:tcW w:w="2538" w:type="dxa"/>
          </w:tcPr>
          <w:p w:rsidR="00CE10E5" w:rsidRPr="00906EAA" w:rsidRDefault="00CE10E5" w:rsidP="00335527">
            <w:pPr>
              <w:ind w:left="138"/>
              <w:jc w:val="both"/>
              <w:rPr>
                <w:rFonts w:ascii="Arial Narrow" w:hAnsi="Arial Narrow"/>
                <w:sz w:val="20"/>
                <w:szCs w:val="20"/>
              </w:rPr>
            </w:pPr>
            <w:r w:rsidRPr="00906EAA">
              <w:rPr>
                <w:rFonts w:ascii="Arial Narrow" w:hAnsi="Arial Narrow"/>
                <w:sz w:val="20"/>
                <w:szCs w:val="20"/>
              </w:rPr>
              <w:t>Investment Rate of Return</w:t>
            </w:r>
          </w:p>
        </w:tc>
        <w:tc>
          <w:tcPr>
            <w:tcW w:w="7038" w:type="dxa"/>
          </w:tcPr>
          <w:p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7.50%</w:t>
            </w:r>
          </w:p>
        </w:tc>
      </w:tr>
      <w:tr w:rsidR="00CE10E5" w:rsidRPr="00906EAA" w:rsidTr="00906EAA">
        <w:tc>
          <w:tcPr>
            <w:tcW w:w="2538" w:type="dxa"/>
          </w:tcPr>
          <w:p w:rsidR="00CE10E5" w:rsidRPr="00906EAA" w:rsidRDefault="00CE10E5" w:rsidP="00AB3B4B">
            <w:pPr>
              <w:ind w:left="138"/>
              <w:jc w:val="both"/>
              <w:rPr>
                <w:rFonts w:ascii="Arial Narrow" w:hAnsi="Arial Narrow"/>
                <w:sz w:val="20"/>
                <w:szCs w:val="20"/>
              </w:rPr>
            </w:pPr>
            <w:r w:rsidRPr="00906EAA">
              <w:rPr>
                <w:rFonts w:ascii="Arial Narrow" w:hAnsi="Arial Narrow"/>
                <w:sz w:val="20"/>
                <w:szCs w:val="20"/>
              </w:rPr>
              <w:t>Projected Salary Increases</w:t>
            </w:r>
          </w:p>
        </w:tc>
        <w:tc>
          <w:tcPr>
            <w:tcW w:w="7038" w:type="dxa"/>
          </w:tcPr>
          <w:p w:rsidR="00CE10E5" w:rsidRPr="00906EAA" w:rsidRDefault="00431067" w:rsidP="00335527">
            <w:pPr>
              <w:pStyle w:val="CM28"/>
              <w:spacing w:after="120" w:line="240" w:lineRule="atLeast"/>
              <w:ind w:right="158"/>
              <w:jc w:val="both"/>
              <w:rPr>
                <w:rFonts w:ascii="Arial Narrow" w:hAnsi="Arial Narrow" w:cs="Arial"/>
                <w:sz w:val="20"/>
                <w:szCs w:val="20"/>
              </w:rPr>
            </w:pPr>
            <w:r w:rsidRPr="00906EAA">
              <w:rPr>
                <w:rFonts w:ascii="Arial Narrow" w:hAnsi="Arial Narrow" w:cs="Arial"/>
                <w:sz w:val="20"/>
                <w:szCs w:val="20"/>
              </w:rPr>
              <w:t>General Employees</w:t>
            </w:r>
            <w:r w:rsidR="00E02E49" w:rsidRPr="00906EAA">
              <w:rPr>
                <w:rFonts w:ascii="Arial Narrow" w:hAnsi="Arial Narrow" w:cs="Arial"/>
                <w:sz w:val="20"/>
                <w:szCs w:val="20"/>
              </w:rPr>
              <w:t xml:space="preserve"> - </w:t>
            </w:r>
            <w:r w:rsidRPr="00906EAA">
              <w:rPr>
                <w:rFonts w:ascii="Arial Narrow" w:hAnsi="Arial Narrow" w:cs="Arial"/>
                <w:sz w:val="20"/>
                <w:szCs w:val="20"/>
              </w:rPr>
              <w:t>3.50% to 7.50%</w:t>
            </w:r>
            <w:r w:rsidR="00335527">
              <w:rPr>
                <w:rFonts w:ascii="Arial Narrow" w:hAnsi="Arial Narrow" w:cs="Arial"/>
                <w:sz w:val="20"/>
                <w:szCs w:val="20"/>
              </w:rPr>
              <w:t xml:space="preserve"> ;  </w:t>
            </w:r>
            <w:r w:rsidRPr="00906EAA">
              <w:rPr>
                <w:rFonts w:ascii="Arial Narrow" w:hAnsi="Arial Narrow" w:cs="Arial"/>
                <w:sz w:val="20"/>
                <w:szCs w:val="20"/>
              </w:rPr>
              <w:t>Police &amp; Fire Employees</w:t>
            </w:r>
            <w:r w:rsidR="00E02E49" w:rsidRPr="00906EAA">
              <w:rPr>
                <w:rFonts w:ascii="Arial Narrow" w:hAnsi="Arial Narrow" w:cs="Arial"/>
                <w:sz w:val="20"/>
                <w:szCs w:val="20"/>
              </w:rPr>
              <w:t xml:space="preserve"> - </w:t>
            </w:r>
            <w:r w:rsidRPr="00906EAA">
              <w:rPr>
                <w:rFonts w:ascii="Arial Narrow" w:hAnsi="Arial Narrow" w:cs="Arial"/>
                <w:sz w:val="20"/>
                <w:szCs w:val="20"/>
              </w:rPr>
              <w:t>4.00% to 14.00%</w:t>
            </w:r>
          </w:p>
        </w:tc>
      </w:tr>
      <w:tr w:rsidR="00CE10E5" w:rsidRPr="00906EAA" w:rsidTr="00906EAA">
        <w:tc>
          <w:tcPr>
            <w:tcW w:w="2538" w:type="dxa"/>
          </w:tcPr>
          <w:p w:rsidR="00CE10E5" w:rsidRPr="00906EAA" w:rsidRDefault="00CE10E5" w:rsidP="00AB3B4B">
            <w:pPr>
              <w:spacing w:before="120"/>
              <w:ind w:left="138"/>
              <w:jc w:val="both"/>
              <w:rPr>
                <w:rFonts w:ascii="Arial Narrow" w:hAnsi="Arial Narrow"/>
                <w:sz w:val="20"/>
                <w:szCs w:val="20"/>
              </w:rPr>
            </w:pPr>
            <w:r w:rsidRPr="00906EAA">
              <w:rPr>
                <w:rFonts w:ascii="Arial Narrow" w:hAnsi="Arial Narrow"/>
                <w:sz w:val="20"/>
                <w:szCs w:val="20"/>
              </w:rPr>
              <w:t>Inflation</w:t>
            </w:r>
          </w:p>
        </w:tc>
        <w:tc>
          <w:tcPr>
            <w:tcW w:w="7038" w:type="dxa"/>
          </w:tcPr>
          <w:p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2.75%</w:t>
            </w:r>
          </w:p>
        </w:tc>
      </w:tr>
      <w:tr w:rsidR="00431067" w:rsidRPr="00906EAA" w:rsidTr="00335527">
        <w:tc>
          <w:tcPr>
            <w:tcW w:w="2538" w:type="dxa"/>
          </w:tcPr>
          <w:p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Mortality</w:t>
            </w:r>
          </w:p>
        </w:tc>
        <w:tc>
          <w:tcPr>
            <w:tcW w:w="7038" w:type="dxa"/>
          </w:tcPr>
          <w:p w:rsidR="00431067" w:rsidRPr="00335527" w:rsidRDefault="00431067" w:rsidP="00335527">
            <w:pPr>
              <w:pStyle w:val="NoSpacing"/>
              <w:numPr>
                <w:ilvl w:val="0"/>
                <w:numId w:val="5"/>
              </w:numPr>
              <w:ind w:left="162" w:hanging="162"/>
              <w:rPr>
                <w:rFonts w:ascii="Arial Narrow" w:hAnsi="Arial Narrow"/>
                <w:sz w:val="20"/>
                <w:szCs w:val="20"/>
              </w:rPr>
            </w:pPr>
            <w:r w:rsidRPr="00335527">
              <w:rPr>
                <w:rFonts w:ascii="Arial Narrow" w:hAnsi="Arial Narrow"/>
                <w:sz w:val="20"/>
                <w:szCs w:val="20"/>
              </w:rPr>
              <w:t xml:space="preserve">Male Employees, </w:t>
            </w:r>
            <w:proofErr w:type="spellStart"/>
            <w:r w:rsidRPr="00335527">
              <w:rPr>
                <w:rFonts w:ascii="Arial Narrow" w:hAnsi="Arial Narrow"/>
                <w:sz w:val="20"/>
                <w:szCs w:val="20"/>
              </w:rPr>
              <w:t>MERS</w:t>
            </w:r>
            <w:proofErr w:type="spellEnd"/>
            <w:r w:rsidRPr="00335527">
              <w:rPr>
                <w:rFonts w:ascii="Arial Narrow" w:hAnsi="Arial Narrow"/>
                <w:sz w:val="20"/>
                <w:szCs w:val="20"/>
              </w:rPr>
              <w:t xml:space="preserve"> General and </w:t>
            </w:r>
            <w:proofErr w:type="spellStart"/>
            <w:r w:rsidRPr="00335527">
              <w:rPr>
                <w:rFonts w:ascii="Arial Narrow" w:hAnsi="Arial Narrow"/>
                <w:sz w:val="20"/>
                <w:szCs w:val="20"/>
              </w:rPr>
              <w:t>MERS</w:t>
            </w:r>
            <w:proofErr w:type="spellEnd"/>
            <w:r w:rsidRPr="00335527">
              <w:rPr>
                <w:rFonts w:ascii="Arial Narrow" w:hAnsi="Arial Narrow"/>
                <w:sz w:val="20"/>
                <w:szCs w:val="20"/>
              </w:rPr>
              <w:t xml:space="preserve"> </w:t>
            </w:r>
            <w:proofErr w:type="spellStart"/>
            <w:r w:rsidRPr="00335527">
              <w:rPr>
                <w:rFonts w:ascii="Arial Narrow" w:hAnsi="Arial Narrow"/>
                <w:sz w:val="20"/>
                <w:szCs w:val="20"/>
              </w:rPr>
              <w:t>P&amp;F</w:t>
            </w:r>
            <w:proofErr w:type="spellEnd"/>
            <w:r w:rsidRPr="00335527">
              <w:rPr>
                <w:rFonts w:ascii="Arial Narrow" w:hAnsi="Arial Narrow"/>
                <w:sz w:val="20"/>
                <w:szCs w:val="20"/>
              </w:rPr>
              <w:t xml:space="preserve">: 115% of RP-2000 Combined Healthy </w:t>
            </w:r>
            <w:proofErr w:type="spellStart"/>
            <w:r w:rsidRPr="00335527">
              <w:rPr>
                <w:rFonts w:ascii="Arial Narrow" w:hAnsi="Arial Narrow"/>
                <w:sz w:val="20"/>
                <w:szCs w:val="20"/>
              </w:rPr>
              <w:t>forMales</w:t>
            </w:r>
            <w:proofErr w:type="spellEnd"/>
            <w:r w:rsidRPr="00335527">
              <w:rPr>
                <w:rFonts w:ascii="Arial Narrow" w:hAnsi="Arial Narrow"/>
                <w:sz w:val="20"/>
                <w:szCs w:val="20"/>
              </w:rPr>
              <w:t xml:space="preserve"> with White Collar adjustments, projected with Scale AA from 2000.</w:t>
            </w:r>
          </w:p>
          <w:p w:rsidR="00335527" w:rsidRDefault="00335527" w:rsidP="00335527">
            <w:pPr>
              <w:pStyle w:val="NoSpacing"/>
              <w:ind w:left="162" w:hanging="162"/>
              <w:rPr>
                <w:rFonts w:ascii="Arial Narrow" w:hAnsi="Arial Narrow"/>
                <w:sz w:val="20"/>
                <w:szCs w:val="20"/>
              </w:rPr>
            </w:pPr>
          </w:p>
          <w:p w:rsidR="00431067" w:rsidRPr="00335527" w:rsidRDefault="00431067" w:rsidP="00335527">
            <w:pPr>
              <w:pStyle w:val="NoSpacing"/>
              <w:numPr>
                <w:ilvl w:val="0"/>
                <w:numId w:val="5"/>
              </w:numPr>
              <w:ind w:left="162" w:hanging="162"/>
              <w:rPr>
                <w:rFonts w:ascii="Arial Narrow" w:hAnsi="Arial Narrow"/>
                <w:sz w:val="20"/>
                <w:szCs w:val="20"/>
              </w:rPr>
            </w:pPr>
            <w:r w:rsidRPr="00335527">
              <w:rPr>
                <w:rFonts w:ascii="Arial Narrow" w:hAnsi="Arial Narrow"/>
                <w:sz w:val="20"/>
                <w:szCs w:val="20"/>
              </w:rPr>
              <w:t xml:space="preserve">Female Employees, </w:t>
            </w:r>
            <w:proofErr w:type="spellStart"/>
            <w:r w:rsidRPr="00335527">
              <w:rPr>
                <w:rFonts w:ascii="Arial Narrow" w:hAnsi="Arial Narrow"/>
                <w:sz w:val="20"/>
                <w:szCs w:val="20"/>
              </w:rPr>
              <w:t>MERS</w:t>
            </w:r>
            <w:proofErr w:type="spellEnd"/>
            <w:r w:rsidRPr="00335527">
              <w:rPr>
                <w:rFonts w:ascii="Arial Narrow" w:hAnsi="Arial Narrow"/>
                <w:sz w:val="20"/>
                <w:szCs w:val="20"/>
              </w:rPr>
              <w:t xml:space="preserve"> General and </w:t>
            </w:r>
            <w:proofErr w:type="spellStart"/>
            <w:r w:rsidRPr="00335527">
              <w:rPr>
                <w:rFonts w:ascii="Arial Narrow" w:hAnsi="Arial Narrow"/>
                <w:sz w:val="20"/>
                <w:szCs w:val="20"/>
              </w:rPr>
              <w:t>MERS</w:t>
            </w:r>
            <w:proofErr w:type="spellEnd"/>
            <w:r w:rsidRPr="00335527">
              <w:rPr>
                <w:rFonts w:ascii="Arial Narrow" w:hAnsi="Arial Narrow"/>
                <w:sz w:val="20"/>
                <w:szCs w:val="20"/>
              </w:rPr>
              <w:t xml:space="preserve"> </w:t>
            </w:r>
            <w:proofErr w:type="spellStart"/>
            <w:r w:rsidRPr="00335527">
              <w:rPr>
                <w:rFonts w:ascii="Arial Narrow" w:hAnsi="Arial Narrow"/>
                <w:sz w:val="20"/>
                <w:szCs w:val="20"/>
              </w:rPr>
              <w:t>P&amp;F</w:t>
            </w:r>
            <w:proofErr w:type="spellEnd"/>
            <w:r w:rsidRPr="00335527">
              <w:rPr>
                <w:rFonts w:ascii="Arial Narrow" w:hAnsi="Arial Narrow"/>
                <w:sz w:val="20"/>
                <w:szCs w:val="20"/>
              </w:rPr>
              <w:t>: 95% of RP-2000 Combined Healthy for Females with White Collar adjustments, projected with Scale AA from 2000.</w:t>
            </w:r>
          </w:p>
        </w:tc>
      </w:tr>
      <w:tr w:rsidR="00431067" w:rsidRPr="00906EAA" w:rsidTr="00906EAA">
        <w:tc>
          <w:tcPr>
            <w:tcW w:w="2538" w:type="dxa"/>
          </w:tcPr>
          <w:p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Cost of Living Adjustments</w:t>
            </w:r>
          </w:p>
        </w:tc>
        <w:tc>
          <w:tcPr>
            <w:tcW w:w="7038" w:type="dxa"/>
          </w:tcPr>
          <w:p w:rsidR="00431067" w:rsidRPr="00335527" w:rsidRDefault="00431067" w:rsidP="00335527">
            <w:pPr>
              <w:pStyle w:val="NoSpacing"/>
              <w:rPr>
                <w:rFonts w:ascii="Arial Narrow" w:hAnsi="Arial Narrow"/>
                <w:sz w:val="20"/>
                <w:szCs w:val="20"/>
              </w:rPr>
            </w:pPr>
            <w:r w:rsidRPr="00335527">
              <w:rPr>
                <w:rFonts w:ascii="Arial Narrow" w:hAnsi="Arial Narrow"/>
                <w:sz w:val="20"/>
                <w:szCs w:val="20"/>
              </w:rPr>
              <w:t xml:space="preserve">COLA is equal to the average five-year fund asset performance (percent) greater than 5.5% up to a maximum of 4% - the COLA is to </w:t>
            </w:r>
            <w:proofErr w:type="gramStart"/>
            <w:r w:rsidRPr="00335527">
              <w:rPr>
                <w:rFonts w:ascii="Arial Narrow" w:hAnsi="Arial Narrow"/>
                <w:sz w:val="20"/>
                <w:szCs w:val="20"/>
              </w:rPr>
              <w:t>be applied</w:t>
            </w:r>
            <w:proofErr w:type="gramEnd"/>
            <w:r w:rsidRPr="00335527">
              <w:rPr>
                <w:rFonts w:ascii="Arial Narrow" w:hAnsi="Arial Narrow"/>
                <w:sz w:val="20"/>
                <w:szCs w:val="20"/>
              </w:rPr>
              <w:t xml:space="preserve"> to the first $25,000 of benefits, indexed over time. COLA </w:t>
            </w:r>
            <w:proofErr w:type="gramStart"/>
            <w:r w:rsidRPr="00335527">
              <w:rPr>
                <w:rFonts w:ascii="Arial Narrow" w:hAnsi="Arial Narrow"/>
                <w:sz w:val="20"/>
                <w:szCs w:val="20"/>
              </w:rPr>
              <w:t>is delayed</w:t>
            </w:r>
            <w:proofErr w:type="gramEnd"/>
            <w:r w:rsidRPr="00335527">
              <w:rPr>
                <w:rFonts w:ascii="Arial Narrow" w:hAnsi="Arial Narrow"/>
                <w:sz w:val="20"/>
                <w:szCs w:val="20"/>
              </w:rPr>
              <w:t xml:space="preserve"> until the latter of Social Security eligibility age or 3 years after retirement except for </w:t>
            </w:r>
            <w:proofErr w:type="spellStart"/>
            <w:r w:rsidRPr="00335527">
              <w:rPr>
                <w:rFonts w:ascii="Arial Narrow" w:hAnsi="Arial Narrow"/>
                <w:sz w:val="20"/>
                <w:szCs w:val="20"/>
              </w:rPr>
              <w:t>MERS</w:t>
            </w:r>
            <w:proofErr w:type="spellEnd"/>
            <w:r w:rsidRPr="00335527">
              <w:rPr>
                <w:rFonts w:ascii="Arial Narrow" w:hAnsi="Arial Narrow"/>
                <w:sz w:val="20"/>
                <w:szCs w:val="20"/>
              </w:rPr>
              <w:t xml:space="preserve"> Police and Fire for which the COLA is delayed until the later of age 55 or 3 years after retirement.</w:t>
            </w:r>
          </w:p>
          <w:p w:rsidR="00431067" w:rsidRPr="00335527" w:rsidRDefault="00E02E49" w:rsidP="00335527">
            <w:pPr>
              <w:pStyle w:val="NoSpacing"/>
              <w:rPr>
                <w:rFonts w:ascii="Arial Narrow" w:hAnsi="Arial Narrow"/>
                <w:sz w:val="20"/>
                <w:szCs w:val="20"/>
              </w:rPr>
            </w:pPr>
            <w:r w:rsidRPr="00335527">
              <w:rPr>
                <w:rFonts w:ascii="Arial Narrow" w:hAnsi="Arial Narrow"/>
                <w:sz w:val="20"/>
                <w:szCs w:val="20"/>
              </w:rPr>
              <w:t>A</w:t>
            </w:r>
            <w:r w:rsidR="00431067" w:rsidRPr="00335527">
              <w:rPr>
                <w:rFonts w:ascii="Arial Narrow" w:hAnsi="Arial Narrow"/>
                <w:sz w:val="20"/>
                <w:szCs w:val="20"/>
              </w:rPr>
              <w:t xml:space="preserve"> 2% COLA </w:t>
            </w:r>
            <w:proofErr w:type="gramStart"/>
            <w:r w:rsidR="00431067" w:rsidRPr="00335527">
              <w:rPr>
                <w:rFonts w:ascii="Arial Narrow" w:hAnsi="Arial Narrow"/>
                <w:sz w:val="20"/>
                <w:szCs w:val="20"/>
              </w:rPr>
              <w:t>is assumed</w:t>
            </w:r>
            <w:proofErr w:type="gramEnd"/>
            <w:r w:rsidR="00431067" w:rsidRPr="00335527">
              <w:rPr>
                <w:rFonts w:ascii="Arial Narrow" w:hAnsi="Arial Narrow"/>
                <w:sz w:val="20"/>
                <w:szCs w:val="20"/>
              </w:rPr>
              <w:t xml:space="preserve"> after January 1, 2014. </w:t>
            </w:r>
          </w:p>
        </w:tc>
      </w:tr>
    </w:tbl>
    <w:p w:rsidR="00CE10E5" w:rsidRDefault="00CE10E5" w:rsidP="00AB3B4B">
      <w:pPr>
        <w:pStyle w:val="CM28"/>
        <w:spacing w:after="240" w:line="240" w:lineRule="atLeast"/>
        <w:ind w:right="162"/>
        <w:jc w:val="both"/>
        <w:rPr>
          <w:rFonts w:ascii="Arial Narrow" w:hAnsi="Arial Narrow" w:cs="Arial"/>
          <w:sz w:val="22"/>
          <w:szCs w:val="22"/>
        </w:rPr>
      </w:pPr>
    </w:p>
    <w:p w:rsidR="00DB223B" w:rsidRPr="00F21195" w:rsidRDefault="00DB223B" w:rsidP="00DB223B">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2013 valuation rolled forward to June 30, 2014 and the calculation of the total pension liability at June 30, 2014 were consistent with the results of an actuarial experience study performed as of June 30, 2013.</w:t>
      </w:r>
    </w:p>
    <w:p w:rsidR="00DB223B" w:rsidRPr="00DB223B" w:rsidRDefault="00DB223B" w:rsidP="00DB223B">
      <w:pPr>
        <w:pStyle w:val="Default"/>
      </w:pPr>
    </w:p>
    <w:p w:rsidR="00431067" w:rsidRPr="009D1BDC" w:rsidRDefault="0043106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sz w:val="22"/>
          <w:szCs w:val="22"/>
        </w:rPr>
        <w:t xml:space="preserve">The long-term expected rate of return </w:t>
      </w:r>
      <w:proofErr w:type="gramStart"/>
      <w:r w:rsidRPr="009D1BDC">
        <w:rPr>
          <w:rFonts w:ascii="Arial Narrow" w:hAnsi="Arial Narrow" w:cs="Arial"/>
          <w:sz w:val="22"/>
          <w:szCs w:val="22"/>
        </w:rPr>
        <w:t>best-estimate</w:t>
      </w:r>
      <w:proofErr w:type="gramEnd"/>
      <w:r w:rsidRPr="009D1BDC">
        <w:rPr>
          <w:rFonts w:ascii="Arial Narrow" w:hAnsi="Arial Narrow" w:cs="Arial"/>
          <w:sz w:val="22"/>
          <w:szCs w:val="22"/>
        </w:rPr>
        <w:t xml:space="preserv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forward-looking medium-term (10 year) capital market return assumptions developed by eight investment consulting firms. The June 30, 2014 expected arithmetic returns over the medium term by asset class as developed by the State Investment Commission’s investment consultant, which are generally consistent with the averages utilized by the actuary, </w:t>
      </w:r>
      <w:proofErr w:type="gramStart"/>
      <w:r w:rsidRPr="009D1BDC">
        <w:rPr>
          <w:rFonts w:ascii="Arial Narrow" w:hAnsi="Arial Narrow" w:cs="Arial"/>
          <w:sz w:val="22"/>
          <w:szCs w:val="22"/>
        </w:rPr>
        <w:t>are summarized</w:t>
      </w:r>
      <w:proofErr w:type="gramEnd"/>
      <w:r w:rsidRPr="009D1BDC">
        <w:rPr>
          <w:rFonts w:ascii="Arial Narrow" w:hAnsi="Arial Narrow" w:cs="Arial"/>
          <w:sz w:val="22"/>
          <w:szCs w:val="22"/>
        </w:rPr>
        <w:t xml:space="preserve"> in the following table:</w:t>
      </w:r>
    </w:p>
    <w:p w:rsidR="00310995" w:rsidRDefault="00352BEA" w:rsidP="00352BEA">
      <w:pPr>
        <w:pStyle w:val="CM22"/>
        <w:spacing w:after="230" w:line="240" w:lineRule="atLeast"/>
        <w:ind w:right="162"/>
        <w:jc w:val="center"/>
        <w:rPr>
          <w:rFonts w:ascii="Arial Narrow" w:hAnsi="Arial Narrow" w:cs="Arial"/>
          <w:sz w:val="22"/>
          <w:szCs w:val="22"/>
        </w:rPr>
      </w:pPr>
      <w:r>
        <w:rPr>
          <w:rFonts w:ascii="Arial Narrow" w:eastAsia="Times New Roman" w:hAnsi="Arial Narrow" w:cs="Arial"/>
          <w:noProof/>
        </w:rPr>
        <w:object w:dxaOrig="6124" w:dyaOrig="3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80pt" o:ole="">
            <v:imagedata r:id="rId10" o:title=""/>
          </v:shape>
          <o:OLEObject Type="Embed" ProgID="Excel.Sheet.12" ShapeID="_x0000_i1025" DrawAspect="Content" ObjectID="_1508857795" r:id="rId11"/>
        </w:object>
      </w:r>
    </w:p>
    <w:p w:rsidR="00BF59CF" w:rsidRPr="00310995" w:rsidRDefault="00431067" w:rsidP="00310995">
      <w:pPr>
        <w:pStyle w:val="CM6"/>
        <w:jc w:val="both"/>
        <w:rPr>
          <w:rFonts w:ascii="Arial Narrow" w:hAnsi="Arial Narrow" w:cs="Arial"/>
          <w:sz w:val="22"/>
          <w:szCs w:val="22"/>
        </w:rPr>
      </w:pPr>
      <w:r w:rsidRPr="00310995">
        <w:rPr>
          <w:rFonts w:ascii="Arial Narrow" w:hAnsi="Arial Narrow" w:cs="Arial"/>
          <w:sz w:val="22"/>
          <w:szCs w:val="22"/>
        </w:rPr>
        <w:t xml:space="preserve">These return assumptions are then weighted by the target asset allocation percentage, factoring in correlation effects, to develop the overall medium-term expected rate of return </w:t>
      </w:r>
      <w:proofErr w:type="gramStart"/>
      <w:r w:rsidRPr="00310995">
        <w:rPr>
          <w:rFonts w:ascii="Arial Narrow" w:hAnsi="Arial Narrow" w:cs="Arial"/>
          <w:sz w:val="22"/>
          <w:szCs w:val="22"/>
        </w:rPr>
        <w:t>best-estimate</w:t>
      </w:r>
      <w:proofErr w:type="gramEnd"/>
      <w:r w:rsidRPr="00310995">
        <w:rPr>
          <w:rFonts w:ascii="Arial Narrow" w:hAnsi="Arial Narrow" w:cs="Arial"/>
          <w:sz w:val="22"/>
          <w:szCs w:val="22"/>
        </w:rPr>
        <w:t xml:space="preserve"> on an arithmetic basis. To arrive at the long-term expected return estimate, the actuary adjusts the medium-term number to reflect the longer 30-year </w:t>
      </w:r>
      <w:proofErr w:type="gramStart"/>
      <w:r w:rsidRPr="00310995">
        <w:rPr>
          <w:rFonts w:ascii="Arial Narrow" w:hAnsi="Arial Narrow" w:cs="Arial"/>
          <w:sz w:val="22"/>
          <w:szCs w:val="22"/>
        </w:rPr>
        <w:t>time frame</w:t>
      </w:r>
      <w:proofErr w:type="gramEnd"/>
      <w:r w:rsidRPr="00310995">
        <w:rPr>
          <w:rFonts w:ascii="Arial Narrow" w:hAnsi="Arial Narrow" w:cs="Arial"/>
          <w:sz w:val="22"/>
          <w:szCs w:val="22"/>
        </w:rPr>
        <w:t xml:space="preserve"> required for actuarial calculations. This process produces the actuarial expected return, which </w:t>
      </w:r>
      <w:proofErr w:type="gramStart"/>
      <w:r w:rsidRPr="00310995">
        <w:rPr>
          <w:rFonts w:ascii="Arial Narrow" w:hAnsi="Arial Narrow" w:cs="Arial"/>
          <w:sz w:val="22"/>
          <w:szCs w:val="22"/>
        </w:rPr>
        <w:t>is based</w:t>
      </w:r>
      <w:proofErr w:type="gramEnd"/>
      <w:r w:rsidRPr="00310995">
        <w:rPr>
          <w:rFonts w:ascii="Arial Narrow" w:hAnsi="Arial Narrow" w:cs="Arial"/>
          <w:sz w:val="22"/>
          <w:szCs w:val="22"/>
        </w:rPr>
        <w:t xml:space="preserve"> on a 30-year horizon, and can differ from the medium-term, 10-year-horizon return expectations.</w:t>
      </w:r>
    </w:p>
    <w:p w:rsidR="00310995" w:rsidRDefault="00310995" w:rsidP="00AB3B4B">
      <w:pPr>
        <w:pStyle w:val="CM6"/>
        <w:jc w:val="both"/>
        <w:rPr>
          <w:rFonts w:ascii="Arial Narrow" w:hAnsi="Arial Narrow" w:cs="Arial"/>
          <w:b/>
          <w:sz w:val="22"/>
          <w:szCs w:val="22"/>
        </w:rPr>
      </w:pPr>
    </w:p>
    <w:p w:rsidR="00B04E6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Discount rate</w:t>
      </w:r>
      <w:r w:rsidR="001F4C86">
        <w:rPr>
          <w:rFonts w:ascii="Arial Narrow" w:hAnsi="Arial Narrow" w:cs="Arial"/>
          <w:b/>
          <w:sz w:val="22"/>
          <w:szCs w:val="22"/>
        </w:rPr>
        <w:t xml:space="preserve"> - </w:t>
      </w:r>
      <w:r w:rsidR="00BF59CF" w:rsidRPr="009D1BDC">
        <w:rPr>
          <w:rFonts w:ascii="Arial Narrow" w:hAnsi="Arial Narrow" w:cs="Arial"/>
          <w:sz w:val="22"/>
          <w:szCs w:val="22"/>
        </w:rPr>
        <w:t xml:space="preserve">The discount rate used to measure the total pension liability of the plans was 7.5 percent. The projection of cash flows used to determine the discount rate assumed that contributions from plan members </w:t>
      </w:r>
      <w:proofErr w:type="gramStart"/>
      <w:r w:rsidR="00BF59CF" w:rsidRPr="009D1BDC">
        <w:rPr>
          <w:rFonts w:ascii="Arial Narrow" w:hAnsi="Arial Narrow" w:cs="Arial"/>
          <w:sz w:val="22"/>
          <w:szCs w:val="22"/>
        </w:rPr>
        <w:t>will be made</w:t>
      </w:r>
      <w:proofErr w:type="gramEnd"/>
      <w:r w:rsidR="00BF59CF" w:rsidRPr="009D1BDC">
        <w:rPr>
          <w:rFonts w:ascii="Arial Narrow" w:hAnsi="Arial Narrow" w:cs="Arial"/>
          <w:sz w:val="22"/>
          <w:szCs w:val="22"/>
        </w:rPr>
        <w:t xml:space="preserve"> at the current contribution rate and that contributions from the employers will be made at statutorily required rates, actuarially determined.  Based on those assumptions, the pension plan’s fiduciary net position </w:t>
      </w:r>
      <w:proofErr w:type="gramStart"/>
      <w:r w:rsidR="00BF59CF" w:rsidRPr="009D1BDC">
        <w:rPr>
          <w:rFonts w:ascii="Arial Narrow" w:hAnsi="Arial Narrow" w:cs="Arial"/>
          <w:sz w:val="22"/>
          <w:szCs w:val="22"/>
        </w:rPr>
        <w:t>was projected</w:t>
      </w:r>
      <w:proofErr w:type="gramEnd"/>
      <w:r w:rsidR="00BF59CF" w:rsidRPr="009D1BDC">
        <w:rPr>
          <w:rFonts w:ascii="Arial Narrow" w:hAnsi="Arial Narrow" w:cs="Arial"/>
          <w:sz w:val="22"/>
          <w:szCs w:val="22"/>
        </w:rPr>
        <w:t xml:space="preserve"> to be available to make all projected future benefit payments of current plan members. Therefore, the long-term expected rate of return on pension plan investments </w:t>
      </w:r>
      <w:proofErr w:type="gramStart"/>
      <w:r w:rsidR="00BF59CF" w:rsidRPr="009D1BDC">
        <w:rPr>
          <w:rFonts w:ascii="Arial Narrow" w:hAnsi="Arial Narrow" w:cs="Arial"/>
          <w:sz w:val="22"/>
          <w:szCs w:val="22"/>
        </w:rPr>
        <w:t>was applied</w:t>
      </w:r>
      <w:proofErr w:type="gramEnd"/>
      <w:r w:rsidR="00BF59CF" w:rsidRPr="009D1BDC">
        <w:rPr>
          <w:rFonts w:ascii="Arial Narrow" w:hAnsi="Arial Narrow" w:cs="Arial"/>
          <w:sz w:val="22"/>
          <w:szCs w:val="22"/>
        </w:rPr>
        <w:t xml:space="preserve"> to all periods of projected benefit payments to determine the total pension liability.</w:t>
      </w:r>
    </w:p>
    <w:p w:rsidR="00335527" w:rsidRPr="00335527" w:rsidRDefault="00335527" w:rsidP="00335527">
      <w:pPr>
        <w:pStyle w:val="Default"/>
      </w:pPr>
    </w:p>
    <w:p w:rsidR="00B04E67" w:rsidRPr="009D1BDC" w:rsidRDefault="00B04E67" w:rsidP="00AB3B4B">
      <w:pPr>
        <w:pStyle w:val="CM6"/>
        <w:jc w:val="both"/>
        <w:rPr>
          <w:rFonts w:ascii="Arial Narrow" w:hAnsi="Arial Narrow" w:cs="Arial"/>
          <w:sz w:val="22"/>
          <w:szCs w:val="22"/>
        </w:rPr>
      </w:pPr>
    </w:p>
    <w:tbl>
      <w:tblPr>
        <w:tblStyle w:val="TableGrid"/>
        <w:tblW w:w="9576" w:type="dxa"/>
        <w:tblLook w:val="04A0" w:firstRow="1" w:lastRow="0" w:firstColumn="1" w:lastColumn="0" w:noHBand="0" w:noVBand="1"/>
      </w:tblPr>
      <w:tblGrid>
        <w:gridCol w:w="4338"/>
        <w:gridCol w:w="1980"/>
        <w:gridCol w:w="1800"/>
        <w:gridCol w:w="1458"/>
      </w:tblGrid>
      <w:tr w:rsidR="00906EAA" w:rsidRPr="00906EAA" w:rsidTr="00906EAA">
        <w:tc>
          <w:tcPr>
            <w:tcW w:w="9576" w:type="dxa"/>
            <w:gridSpan w:val="4"/>
          </w:tcPr>
          <w:p w:rsidR="00906EAA" w:rsidRPr="00906EAA" w:rsidRDefault="00906EAA" w:rsidP="00906EAA">
            <w:pPr>
              <w:pStyle w:val="Default"/>
              <w:jc w:val="center"/>
              <w:rPr>
                <w:rFonts w:ascii="Arial Narrow" w:hAnsi="Arial Narrow" w:cs="Arial"/>
                <w:b/>
                <w:color w:val="auto"/>
              </w:rPr>
            </w:pPr>
            <w:r w:rsidRPr="00906EAA">
              <w:rPr>
                <w:rFonts w:ascii="Arial Narrow" w:hAnsi="Arial Narrow" w:cs="Arial"/>
                <w:b/>
                <w:color w:val="auto"/>
              </w:rPr>
              <w:t>Changes in the Net Pension Liability (Asset)</w:t>
            </w:r>
          </w:p>
        </w:tc>
      </w:tr>
      <w:tr w:rsidR="00906EAA" w:rsidTr="00906EAA">
        <w:tc>
          <w:tcPr>
            <w:tcW w:w="4338" w:type="dxa"/>
          </w:tcPr>
          <w:p w:rsidR="00906EAA" w:rsidRPr="00352BEA" w:rsidRDefault="00906EAA" w:rsidP="00AB3B4B">
            <w:pPr>
              <w:pStyle w:val="Default"/>
              <w:jc w:val="both"/>
              <w:rPr>
                <w:rFonts w:ascii="Arial Narrow" w:hAnsi="Arial Narrow" w:cs="Arial"/>
                <w:color w:val="auto"/>
                <w:sz w:val="20"/>
                <w:szCs w:val="20"/>
              </w:rPr>
            </w:pPr>
          </w:p>
        </w:tc>
        <w:tc>
          <w:tcPr>
            <w:tcW w:w="5238" w:type="dxa"/>
            <w:gridSpan w:val="3"/>
          </w:tcPr>
          <w:p w:rsidR="00906EA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Increase (Decrease)</w:t>
            </w:r>
          </w:p>
        </w:tc>
      </w:tr>
      <w:tr w:rsidR="00352BEA" w:rsidTr="00906EAA">
        <w:tc>
          <w:tcPr>
            <w:tcW w:w="4338" w:type="dxa"/>
          </w:tcPr>
          <w:p w:rsidR="00352BEA" w:rsidRPr="00352BEA" w:rsidRDefault="00505892" w:rsidP="00505892">
            <w:pPr>
              <w:pStyle w:val="Default"/>
              <w:jc w:val="center"/>
              <w:rPr>
                <w:rFonts w:ascii="Arial Narrow" w:hAnsi="Arial Narrow" w:cs="Arial"/>
                <w:color w:val="auto"/>
                <w:sz w:val="20"/>
                <w:szCs w:val="20"/>
              </w:rPr>
            </w:pPr>
            <w:r w:rsidRPr="003B65B3">
              <w:rPr>
                <w:rFonts w:ascii="Arial Narrow" w:hAnsi="Arial Narrow"/>
                <w:sz w:val="20"/>
                <w:szCs w:val="20"/>
                <w:highlight w:val="yellow"/>
              </w:rPr>
              <w:t>From GRS employer specific valuation</w:t>
            </w:r>
          </w:p>
        </w:tc>
        <w:tc>
          <w:tcPr>
            <w:tcW w:w="1980"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Total Pension Liability</w:t>
            </w:r>
          </w:p>
        </w:tc>
        <w:tc>
          <w:tcPr>
            <w:tcW w:w="1800"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Plan Fiduciary Net Position</w:t>
            </w:r>
          </w:p>
        </w:tc>
        <w:tc>
          <w:tcPr>
            <w:tcW w:w="1458"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Net Pension Liability</w:t>
            </w:r>
          </w:p>
        </w:tc>
      </w:tr>
      <w:tr w:rsidR="00352BEA" w:rsidTr="00421618">
        <w:tc>
          <w:tcPr>
            <w:tcW w:w="4338" w:type="dxa"/>
          </w:tcPr>
          <w:p w:rsidR="00352BEA" w:rsidRPr="00352BEA" w:rsidRDefault="00352BEA" w:rsidP="00AB3B4B">
            <w:pPr>
              <w:pStyle w:val="Default"/>
              <w:jc w:val="both"/>
              <w:rPr>
                <w:rFonts w:ascii="Arial Narrow" w:hAnsi="Arial Narrow" w:cs="Arial"/>
                <w:color w:val="auto"/>
                <w:sz w:val="20"/>
                <w:szCs w:val="20"/>
              </w:rPr>
            </w:pPr>
            <w:r w:rsidRPr="00352BEA">
              <w:rPr>
                <w:rFonts w:ascii="Arial Narrow" w:hAnsi="Arial Narrow" w:cs="Arial"/>
                <w:color w:val="auto"/>
                <w:sz w:val="20"/>
                <w:szCs w:val="20"/>
              </w:rPr>
              <w:t>Balances as of June 30, 2013</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352BEA">
            <w:pPr>
              <w:pStyle w:val="Default"/>
              <w:jc w:val="both"/>
              <w:rPr>
                <w:rFonts w:ascii="Arial Narrow" w:hAnsi="Arial Narrow" w:cs="Arial"/>
                <w:color w:val="auto"/>
                <w:sz w:val="20"/>
                <w:szCs w:val="20"/>
              </w:rPr>
            </w:pPr>
            <w:r>
              <w:rPr>
                <w:rFonts w:ascii="Arial Narrow" w:hAnsi="Arial Narrow" w:cs="Arial"/>
                <w:color w:val="auto"/>
                <w:sz w:val="20"/>
                <w:szCs w:val="20"/>
              </w:rPr>
              <w:t>Changes for the Year</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 xml:space="preserve">Service </w:t>
            </w:r>
            <w:r w:rsidR="00906EAA">
              <w:rPr>
                <w:rFonts w:ascii="Arial Narrow" w:hAnsi="Arial Narrow" w:cs="Arial"/>
                <w:color w:val="auto"/>
                <w:sz w:val="20"/>
                <w:szCs w:val="20"/>
              </w:rPr>
              <w:t>c</w:t>
            </w:r>
            <w:r>
              <w:rPr>
                <w:rFonts w:ascii="Arial Narrow" w:hAnsi="Arial Narrow" w:cs="Arial"/>
                <w:color w:val="auto"/>
                <w:sz w:val="20"/>
                <w:szCs w:val="20"/>
              </w:rPr>
              <w:t>ost</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Interest on the total pension liability</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benefits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Difference between expected and actual experience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assumptions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Employer contributions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Employee contributions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Net investment income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Benefit payments, including employee refunds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Administrative expense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Other changes</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906EAA">
            <w:pPr>
              <w:pStyle w:val="Default"/>
              <w:jc w:val="both"/>
              <w:rPr>
                <w:rFonts w:ascii="Arial Narrow" w:hAnsi="Arial Narrow" w:cs="Arial"/>
                <w:color w:val="auto"/>
                <w:sz w:val="20"/>
                <w:szCs w:val="20"/>
              </w:rPr>
            </w:pPr>
            <w:r>
              <w:rPr>
                <w:rFonts w:ascii="Arial Narrow" w:hAnsi="Arial Narrow" w:cs="Arial"/>
                <w:color w:val="auto"/>
                <w:sz w:val="20"/>
                <w:szCs w:val="20"/>
              </w:rPr>
              <w:t>Net changes</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DE6A63">
            <w:pPr>
              <w:pStyle w:val="Default"/>
              <w:jc w:val="both"/>
              <w:rPr>
                <w:rFonts w:ascii="Arial Narrow" w:hAnsi="Arial Narrow" w:cs="Arial"/>
                <w:color w:val="auto"/>
                <w:sz w:val="20"/>
                <w:szCs w:val="20"/>
              </w:rPr>
            </w:pPr>
            <w:r>
              <w:rPr>
                <w:rFonts w:ascii="Arial Narrow" w:hAnsi="Arial Narrow" w:cs="Arial"/>
                <w:color w:val="auto"/>
                <w:sz w:val="20"/>
                <w:szCs w:val="20"/>
              </w:rPr>
              <w:t>Balances as of June 30, 2014</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bl>
    <w:p w:rsidR="00352BEA" w:rsidRDefault="00352BEA" w:rsidP="00AB3B4B">
      <w:pPr>
        <w:pStyle w:val="Default"/>
        <w:jc w:val="both"/>
        <w:rPr>
          <w:rFonts w:ascii="Arial Narrow" w:hAnsi="Arial Narrow" w:cs="Arial"/>
          <w:color w:val="auto"/>
          <w:sz w:val="22"/>
          <w:szCs w:val="22"/>
        </w:rPr>
      </w:pPr>
    </w:p>
    <w:p w:rsidR="00352BEA" w:rsidRDefault="00352BEA" w:rsidP="00AB3B4B">
      <w:pPr>
        <w:pStyle w:val="Default"/>
        <w:jc w:val="both"/>
        <w:rPr>
          <w:rFonts w:ascii="Arial Narrow" w:hAnsi="Arial Narrow" w:cs="Arial"/>
          <w:color w:val="auto"/>
          <w:sz w:val="22"/>
          <w:szCs w:val="22"/>
        </w:rPr>
      </w:pPr>
    </w:p>
    <w:p w:rsidR="00F67EE7" w:rsidRDefault="00F67EE7" w:rsidP="00AB3B4B">
      <w:pPr>
        <w:pStyle w:val="CM6"/>
        <w:jc w:val="both"/>
        <w:rPr>
          <w:rFonts w:ascii="Arial Narrow" w:hAnsi="Arial Narrow" w:cs="Arial"/>
          <w:sz w:val="22"/>
          <w:szCs w:val="22"/>
        </w:rPr>
      </w:pPr>
      <w:proofErr w:type="gramStart"/>
      <w:r w:rsidRPr="009D1BDC">
        <w:rPr>
          <w:rFonts w:ascii="Arial Narrow" w:hAnsi="Arial Narrow" w:cs="Arial"/>
          <w:b/>
          <w:sz w:val="22"/>
          <w:szCs w:val="22"/>
        </w:rPr>
        <w:t>Sensitivity of the Net Pension Liability to changes in the discount rate</w:t>
      </w:r>
      <w:r w:rsidRPr="009D1BDC">
        <w:rPr>
          <w:rFonts w:ascii="Arial Narrow" w:hAnsi="Arial Narrow" w:cs="Arial"/>
          <w:sz w:val="22"/>
          <w:szCs w:val="22"/>
        </w:rPr>
        <w:t>.</w:t>
      </w:r>
      <w:proofErr w:type="gramEnd"/>
      <w:r w:rsidRPr="009D1BDC">
        <w:rPr>
          <w:rFonts w:ascii="Arial Narrow" w:hAnsi="Arial Narrow" w:cs="Arial"/>
          <w:sz w:val="22"/>
          <w:szCs w:val="22"/>
        </w:rPr>
        <w:t xml:space="preserve"> </w:t>
      </w:r>
      <w:r w:rsidR="00472B76" w:rsidRPr="009D1BDC">
        <w:rPr>
          <w:rFonts w:ascii="Arial Narrow" w:hAnsi="Arial Narrow" w:cs="Arial"/>
          <w:sz w:val="22"/>
          <w:szCs w:val="22"/>
        </w:rPr>
        <w:t xml:space="preserve">The following presents the net pension liability (asset) of the employers calculated using the discount rate of 7.5 percent, as well as what the employers’ net </w:t>
      </w:r>
      <w:r w:rsidR="00472B76" w:rsidRPr="009D1BDC">
        <w:rPr>
          <w:rFonts w:ascii="Arial Narrow" w:hAnsi="Arial Narrow" w:cs="Arial"/>
          <w:sz w:val="22"/>
          <w:szCs w:val="22"/>
        </w:rPr>
        <w:lastRenderedPageBreak/>
        <w:t xml:space="preserve">pension liability (asset) would be if it were calculated using a discount rate that is 1-percentage-point lower or 1-percentage-point higher than the current rate. </w:t>
      </w:r>
    </w:p>
    <w:p w:rsidR="00804336" w:rsidRDefault="00804336" w:rsidP="00804336">
      <w:pPr>
        <w:pStyle w:val="Default"/>
      </w:pPr>
    </w:p>
    <w:tbl>
      <w:tblPr>
        <w:tblStyle w:val="TableGrid"/>
        <w:tblW w:w="0" w:type="auto"/>
        <w:jc w:val="center"/>
        <w:tblInd w:w="1908" w:type="dxa"/>
        <w:tblLook w:val="04A0" w:firstRow="1" w:lastRow="0" w:firstColumn="1" w:lastColumn="0" w:noHBand="0" w:noVBand="1"/>
      </w:tblPr>
      <w:tblGrid>
        <w:gridCol w:w="2160"/>
        <w:gridCol w:w="2316"/>
        <w:gridCol w:w="2094"/>
      </w:tblGrid>
      <w:tr w:rsidR="00804336" w:rsidTr="005D209E">
        <w:trPr>
          <w:jc w:val="center"/>
        </w:trPr>
        <w:tc>
          <w:tcPr>
            <w:tcW w:w="2160"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(6.5%)</w:t>
            </w:r>
          </w:p>
        </w:tc>
        <w:tc>
          <w:tcPr>
            <w:tcW w:w="2316"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(7.5%)</w:t>
            </w:r>
          </w:p>
        </w:tc>
        <w:tc>
          <w:tcPr>
            <w:tcW w:w="2094"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(8.5%)</w:t>
            </w:r>
          </w:p>
        </w:tc>
      </w:tr>
      <w:tr w:rsidR="00804336" w:rsidTr="005D209E">
        <w:trPr>
          <w:jc w:val="center"/>
        </w:trPr>
        <w:tc>
          <w:tcPr>
            <w:tcW w:w="2160" w:type="dxa"/>
            <w:shd w:val="clear" w:color="auto" w:fill="auto"/>
          </w:tcPr>
          <w:p w:rsidR="00804336" w:rsidRDefault="00804336" w:rsidP="005D209E">
            <w:pPr>
              <w:jc w:val="center"/>
              <w:rPr>
                <w:rFonts w:ascii="Arial Narrow" w:eastAsia="Times New Roman" w:hAnsi="Arial Narrow" w:cs="Arial"/>
                <w:b/>
                <w:sz w:val="20"/>
                <w:szCs w:val="20"/>
              </w:rPr>
            </w:pPr>
          </w:p>
        </w:tc>
        <w:tc>
          <w:tcPr>
            <w:tcW w:w="2316" w:type="dxa"/>
            <w:shd w:val="clear" w:color="auto" w:fill="auto"/>
          </w:tcPr>
          <w:p w:rsidR="00804336" w:rsidRDefault="00804336" w:rsidP="005D209E">
            <w:pPr>
              <w:jc w:val="center"/>
              <w:rPr>
                <w:rFonts w:ascii="Arial Narrow" w:eastAsia="Times New Roman" w:hAnsi="Arial Narrow" w:cs="Arial"/>
                <w:b/>
                <w:sz w:val="20"/>
                <w:szCs w:val="20"/>
              </w:rPr>
            </w:pPr>
          </w:p>
        </w:tc>
        <w:tc>
          <w:tcPr>
            <w:tcW w:w="2094" w:type="dxa"/>
            <w:shd w:val="clear" w:color="auto" w:fill="auto"/>
          </w:tcPr>
          <w:p w:rsidR="00804336" w:rsidRDefault="00804336" w:rsidP="005D209E">
            <w:pPr>
              <w:jc w:val="center"/>
              <w:rPr>
                <w:rFonts w:ascii="Arial Narrow" w:eastAsia="Times New Roman" w:hAnsi="Arial Narrow" w:cs="Arial"/>
                <w:b/>
                <w:sz w:val="20"/>
                <w:szCs w:val="20"/>
              </w:rPr>
            </w:pPr>
          </w:p>
        </w:tc>
      </w:tr>
    </w:tbl>
    <w:p w:rsidR="00804336" w:rsidRPr="00804336" w:rsidRDefault="00804336" w:rsidP="00804336">
      <w:pPr>
        <w:pStyle w:val="Default"/>
      </w:pPr>
    </w:p>
    <w:p w:rsidR="00505892" w:rsidRDefault="00505892" w:rsidP="00AA5039">
      <w:pPr>
        <w:tabs>
          <w:tab w:val="left" w:pos="720"/>
        </w:tabs>
        <w:spacing w:after="0" w:line="240" w:lineRule="auto"/>
        <w:jc w:val="both"/>
        <w:rPr>
          <w:rFonts w:ascii="Arial Narrow" w:eastAsia="Times New Roman" w:hAnsi="Arial Narrow" w:cs="Arial"/>
          <w:b/>
        </w:rPr>
      </w:pPr>
    </w:p>
    <w:p w:rsidR="00AA5039" w:rsidRDefault="00AA5039" w:rsidP="00AA503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w:t>
      </w:r>
      <w:proofErr w:type="spellStart"/>
      <w:r>
        <w:rPr>
          <w:rFonts w:ascii="Arial Narrow" w:eastAsia="Times New Roman" w:hAnsi="Arial Narrow" w:cs="Arial"/>
        </w:rPr>
        <w:t>ERSRI</w:t>
      </w:r>
      <w:proofErr w:type="spellEnd"/>
      <w:r>
        <w:rPr>
          <w:rFonts w:ascii="Arial Narrow" w:eastAsia="Times New Roman" w:hAnsi="Arial Narrow" w:cs="Arial"/>
        </w:rPr>
        <w:t xml:space="preserve"> financial report.  </w:t>
      </w:r>
    </w:p>
    <w:p w:rsidR="00AA5039" w:rsidRDefault="00AA5039" w:rsidP="00AB3B4B">
      <w:pPr>
        <w:pStyle w:val="Default"/>
        <w:jc w:val="both"/>
        <w:rPr>
          <w:rFonts w:ascii="Arial Narrow" w:hAnsi="Arial Narrow" w:cs="Arial"/>
          <w:b/>
          <w:color w:val="auto"/>
          <w:sz w:val="22"/>
          <w:szCs w:val="22"/>
        </w:rPr>
      </w:pPr>
    </w:p>
    <w:p w:rsidR="00AA5039" w:rsidRDefault="00AA5039" w:rsidP="00AB3B4B">
      <w:pPr>
        <w:pStyle w:val="Default"/>
        <w:jc w:val="both"/>
        <w:rPr>
          <w:rFonts w:ascii="Arial Narrow" w:hAnsi="Arial Narrow" w:cs="Arial"/>
          <w:b/>
          <w:color w:val="auto"/>
          <w:sz w:val="22"/>
          <w:szCs w:val="22"/>
        </w:rPr>
      </w:pPr>
    </w:p>
    <w:p w:rsidR="00F67EE7" w:rsidRDefault="00F67EE7" w:rsidP="00AB3B4B">
      <w:pPr>
        <w:pStyle w:val="Default"/>
        <w:jc w:val="both"/>
        <w:rPr>
          <w:rFonts w:ascii="Arial Narrow" w:hAnsi="Arial Narrow" w:cs="Arial"/>
          <w:b/>
          <w:color w:val="auto"/>
          <w:sz w:val="22"/>
          <w:szCs w:val="22"/>
        </w:rPr>
      </w:pPr>
      <w:r w:rsidRPr="009D1BDC">
        <w:rPr>
          <w:rFonts w:ascii="Arial Narrow" w:hAnsi="Arial Narrow" w:cs="Arial"/>
          <w:b/>
          <w:color w:val="auto"/>
          <w:sz w:val="22"/>
          <w:szCs w:val="22"/>
        </w:rPr>
        <w:t xml:space="preserve">Pension Expense and Deferred Outflows of Resources and Deferred Inflows of Resources Related to Pensions </w:t>
      </w:r>
    </w:p>
    <w:p w:rsidR="001F4C86" w:rsidRPr="009D1BDC" w:rsidRDefault="001F4C86" w:rsidP="00AB3B4B">
      <w:pPr>
        <w:pStyle w:val="Default"/>
        <w:jc w:val="both"/>
        <w:rPr>
          <w:rFonts w:ascii="Arial Narrow" w:hAnsi="Arial Narrow" w:cs="Arial"/>
          <w:b/>
          <w:color w:val="auto"/>
          <w:sz w:val="22"/>
          <w:szCs w:val="22"/>
        </w:rPr>
      </w:pPr>
    </w:p>
    <w:p w:rsidR="00F67EE7" w:rsidRPr="009D1BDC" w:rsidRDefault="00F67EE7" w:rsidP="00AB3B4B">
      <w:pPr>
        <w:pStyle w:val="CM28"/>
        <w:spacing w:after="240" w:line="240" w:lineRule="atLeast"/>
        <w:jc w:val="both"/>
        <w:rPr>
          <w:rFonts w:ascii="Arial Narrow" w:hAnsi="Arial Narrow" w:cs="Arial"/>
          <w:sz w:val="22"/>
          <w:szCs w:val="22"/>
        </w:rPr>
      </w:pPr>
      <w:r w:rsidRPr="009D1BDC">
        <w:rPr>
          <w:rFonts w:ascii="Arial Narrow" w:hAnsi="Arial Narrow" w:cs="Arial"/>
          <w:sz w:val="22"/>
          <w:szCs w:val="22"/>
        </w:rPr>
        <w:t>For the year ended</w:t>
      </w:r>
      <w:r w:rsidR="003B65B3">
        <w:rPr>
          <w:rFonts w:ascii="Arial Narrow" w:hAnsi="Arial Narrow" w:cs="Arial"/>
          <w:sz w:val="22"/>
          <w:szCs w:val="22"/>
        </w:rPr>
        <w:t xml:space="preserve"> </w:t>
      </w:r>
      <w:r w:rsidRPr="009D1BDC">
        <w:rPr>
          <w:rFonts w:ascii="Arial Narrow" w:hAnsi="Arial Narrow" w:cs="Arial"/>
          <w:sz w:val="22"/>
          <w:szCs w:val="22"/>
        </w:rPr>
        <w:t>[</w:t>
      </w:r>
      <w:r w:rsidR="00400433" w:rsidRPr="003B65B3">
        <w:rPr>
          <w:rFonts w:ascii="Arial Narrow" w:hAnsi="Arial Narrow" w:cs="Arial"/>
          <w:sz w:val="22"/>
          <w:szCs w:val="22"/>
          <w:highlight w:val="yellow"/>
        </w:rPr>
        <w:t>June 30, 2015</w:t>
      </w:r>
      <w:bookmarkStart w:id="0" w:name="Text_Field_29"/>
      <w:r w:rsidRPr="009D1BDC">
        <w:rPr>
          <w:rFonts w:ascii="Arial Narrow" w:hAnsi="Arial Narrow" w:cs="Arial"/>
          <w:sz w:val="22"/>
          <w:szCs w:val="22"/>
        </w:rPr>
        <w:fldChar w:fldCharType="begin">
          <w:ffData>
            <w:name w:val="Text_Field_29"/>
            <w:enabled/>
            <w:calcOnExit w:val="0"/>
            <w:textInput/>
          </w:ffData>
        </w:fldChar>
      </w:r>
      <w:r w:rsidRPr="009D1BDC">
        <w:rPr>
          <w:rFonts w:ascii="Arial Narrow" w:hAnsi="Arial Narrow" w:cs="Arial"/>
          <w:sz w:val="22"/>
          <w:szCs w:val="22"/>
        </w:rPr>
        <w:instrText xml:space="preserve"> FORMTEXT </w:instrText>
      </w:r>
      <w:r w:rsidR="00C208A7">
        <w:rPr>
          <w:rFonts w:ascii="Arial Narrow" w:hAnsi="Arial Narrow" w:cs="Arial"/>
          <w:sz w:val="22"/>
          <w:szCs w:val="22"/>
        </w:rPr>
      </w:r>
      <w:r w:rsidR="00C208A7">
        <w:rPr>
          <w:rFonts w:ascii="Arial Narrow" w:hAnsi="Arial Narrow" w:cs="Arial"/>
          <w:sz w:val="22"/>
          <w:szCs w:val="22"/>
        </w:rPr>
        <w:fldChar w:fldCharType="separate"/>
      </w:r>
      <w:r w:rsidRPr="009D1BDC">
        <w:rPr>
          <w:rFonts w:ascii="Arial Narrow" w:hAnsi="Arial Narrow" w:cs="Arial"/>
          <w:sz w:val="22"/>
          <w:szCs w:val="22"/>
        </w:rPr>
        <w:fldChar w:fldCharType="end"/>
      </w:r>
      <w:bookmarkEnd w:id="0"/>
      <w:r w:rsidRPr="009D1BDC">
        <w:rPr>
          <w:rFonts w:ascii="Arial Narrow" w:hAnsi="Arial Narrow" w:cs="Arial"/>
          <w:sz w:val="22"/>
          <w:szCs w:val="22"/>
        </w:rPr>
        <w:t xml:space="preserve">] the employer recognized pension expense of </w:t>
      </w:r>
      <w:r w:rsidRPr="001F4C86">
        <w:rPr>
          <w:rFonts w:ascii="Arial Narrow" w:hAnsi="Arial Narrow" w:cs="Arial"/>
          <w:sz w:val="22"/>
          <w:szCs w:val="22"/>
          <w:highlight w:val="yellow"/>
        </w:rPr>
        <w:t>[</w:t>
      </w:r>
      <w:r w:rsidR="00400433" w:rsidRPr="001F4C86">
        <w:rPr>
          <w:rFonts w:ascii="Arial Narrow" w:hAnsi="Arial Narrow" w:cs="Arial"/>
          <w:sz w:val="22"/>
          <w:szCs w:val="22"/>
          <w:highlight w:val="yellow"/>
        </w:rPr>
        <w:t>$</w:t>
      </w:r>
      <w:proofErr w:type="spellStart"/>
      <w:r w:rsidR="003B65B3" w:rsidRPr="001F4C86">
        <w:rPr>
          <w:rFonts w:ascii="Arial Narrow" w:hAnsi="Arial Narrow" w:cs="Arial"/>
          <w:sz w:val="22"/>
          <w:szCs w:val="22"/>
          <w:highlight w:val="yellow"/>
        </w:rPr>
        <w:t>XXX</w:t>
      </w:r>
      <w:proofErr w:type="gramStart"/>
      <w:r w:rsidR="003B65B3" w:rsidRPr="001F4C86">
        <w:rPr>
          <w:rFonts w:ascii="Arial Narrow" w:hAnsi="Arial Narrow" w:cs="Arial"/>
          <w:sz w:val="22"/>
          <w:szCs w:val="22"/>
          <w:highlight w:val="yellow"/>
        </w:rPr>
        <w:t>,XXX</w:t>
      </w:r>
      <w:bookmarkStart w:id="1" w:name="Text_Field_30"/>
      <w:proofErr w:type="spellEnd"/>
      <w:proofErr w:type="gramEnd"/>
      <w:r w:rsidRPr="009D1BDC">
        <w:rPr>
          <w:rFonts w:ascii="Arial Narrow" w:hAnsi="Arial Narrow" w:cs="Arial"/>
          <w:sz w:val="22"/>
          <w:szCs w:val="22"/>
        </w:rPr>
        <w:fldChar w:fldCharType="begin">
          <w:ffData>
            <w:name w:val="Text_Field_30"/>
            <w:enabled/>
            <w:calcOnExit w:val="0"/>
            <w:textInput/>
          </w:ffData>
        </w:fldChar>
      </w:r>
      <w:r w:rsidRPr="009D1BDC">
        <w:rPr>
          <w:rFonts w:ascii="Arial Narrow" w:hAnsi="Arial Narrow" w:cs="Arial"/>
          <w:sz w:val="22"/>
          <w:szCs w:val="22"/>
        </w:rPr>
        <w:instrText xml:space="preserve"> FORMTEXT </w:instrText>
      </w:r>
      <w:r w:rsidR="00C208A7">
        <w:rPr>
          <w:rFonts w:ascii="Arial Narrow" w:hAnsi="Arial Narrow" w:cs="Arial"/>
          <w:sz w:val="22"/>
          <w:szCs w:val="22"/>
        </w:rPr>
      </w:r>
      <w:r w:rsidR="00C208A7">
        <w:rPr>
          <w:rFonts w:ascii="Arial Narrow" w:hAnsi="Arial Narrow" w:cs="Arial"/>
          <w:sz w:val="22"/>
          <w:szCs w:val="22"/>
        </w:rPr>
        <w:fldChar w:fldCharType="separate"/>
      </w:r>
      <w:r w:rsidRPr="009D1BDC">
        <w:rPr>
          <w:rFonts w:ascii="Arial Narrow" w:hAnsi="Arial Narrow" w:cs="Arial"/>
          <w:sz w:val="22"/>
          <w:szCs w:val="22"/>
        </w:rPr>
        <w:fldChar w:fldCharType="end"/>
      </w:r>
      <w:bookmarkEnd w:id="1"/>
      <w:r w:rsidRPr="009D1BDC">
        <w:rPr>
          <w:rFonts w:ascii="Arial Narrow" w:hAnsi="Arial Narrow" w:cs="Arial"/>
          <w:sz w:val="22"/>
          <w:szCs w:val="22"/>
        </w:rPr>
        <w:t xml:space="preserve">]. The employer reported deferred outflows and inflows of resources related to pensions from the following sources: </w:t>
      </w:r>
    </w:p>
    <w:tbl>
      <w:tblPr>
        <w:tblStyle w:val="TableGrid"/>
        <w:tblW w:w="6300" w:type="dxa"/>
        <w:jc w:val="center"/>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620"/>
        <w:gridCol w:w="1530"/>
      </w:tblGrid>
      <w:tr w:rsidR="006D6CC9" w:rsidRPr="009D1BDC" w:rsidTr="003B65B3">
        <w:trPr>
          <w:jc w:val="center"/>
        </w:trPr>
        <w:tc>
          <w:tcPr>
            <w:tcW w:w="3150" w:type="dxa"/>
          </w:tcPr>
          <w:p w:rsidR="006D6CC9" w:rsidRPr="009D1BDC" w:rsidRDefault="006D6CC9" w:rsidP="003E3D21">
            <w:pPr>
              <w:pStyle w:val="Default"/>
              <w:rPr>
                <w:rFonts w:ascii="Arial Narrow" w:hAnsi="Arial Narrow"/>
                <w:sz w:val="22"/>
                <w:szCs w:val="22"/>
              </w:rPr>
            </w:pPr>
          </w:p>
        </w:tc>
        <w:tc>
          <w:tcPr>
            <w:tcW w:w="1620" w:type="dxa"/>
          </w:tcPr>
          <w:p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Outflows of Resources</w:t>
            </w:r>
          </w:p>
        </w:tc>
        <w:tc>
          <w:tcPr>
            <w:tcW w:w="1530" w:type="dxa"/>
          </w:tcPr>
          <w:p w:rsidR="00505892" w:rsidRDefault="00505892" w:rsidP="003E3D21">
            <w:pPr>
              <w:pStyle w:val="Default"/>
              <w:jc w:val="center"/>
              <w:rPr>
                <w:rFonts w:ascii="Arial Narrow" w:hAnsi="Arial Narrow"/>
                <w:sz w:val="22"/>
                <w:szCs w:val="22"/>
              </w:rPr>
            </w:pPr>
          </w:p>
          <w:p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inflows of Resources</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 in experience</w:t>
            </w:r>
          </w:p>
        </w:tc>
        <w:tc>
          <w:tcPr>
            <w:tcW w:w="1620" w:type="dxa"/>
            <w:shd w:val="clear" w:color="auto" w:fill="FFFF00"/>
          </w:tcPr>
          <w:p w:rsidR="003F0B83" w:rsidRPr="009D1BDC" w:rsidRDefault="003F0B83" w:rsidP="003B65B3">
            <w:pPr>
              <w:pStyle w:val="Default"/>
              <w:jc w:val="right"/>
              <w:rPr>
                <w:rFonts w:ascii="Arial Narrow" w:hAnsi="Arial Narrow"/>
                <w:sz w:val="22"/>
                <w:szCs w:val="22"/>
              </w:rPr>
            </w:pPr>
            <w:r w:rsidRPr="009D1BDC">
              <w:rPr>
                <w:rFonts w:ascii="Arial Narrow" w:hAnsi="Arial Narrow"/>
                <w:sz w:val="22"/>
                <w:szCs w:val="22"/>
              </w:rPr>
              <w:t>$</w:t>
            </w:r>
            <w:r w:rsidR="003B65B3">
              <w:rPr>
                <w:rFonts w:ascii="Arial Narrow" w:hAnsi="Arial Narrow"/>
                <w:sz w:val="22"/>
                <w:szCs w:val="22"/>
              </w:rPr>
              <w:t xml:space="preserve">    X</w:t>
            </w:r>
            <w:r w:rsidR="00701ECB" w:rsidRPr="009D1BDC">
              <w:rPr>
                <w:rFonts w:ascii="Arial Narrow" w:hAnsi="Arial Narrow"/>
                <w:sz w:val="22"/>
                <w:szCs w:val="22"/>
              </w:rPr>
              <w:t xml:space="preserve">    </w:t>
            </w:r>
            <w:r w:rsidRPr="009D1BDC">
              <w:rPr>
                <w:rFonts w:ascii="Arial Narrow" w:hAnsi="Arial Narrow"/>
                <w:sz w:val="22"/>
                <w:szCs w:val="22"/>
              </w:rPr>
              <w:t xml:space="preserve"> </w:t>
            </w:r>
          </w:p>
        </w:tc>
        <w:tc>
          <w:tcPr>
            <w:tcW w:w="1530" w:type="dxa"/>
            <w:shd w:val="clear" w:color="auto" w:fill="FFFF00"/>
          </w:tcPr>
          <w:p w:rsidR="00701ECB" w:rsidRPr="003B65B3" w:rsidRDefault="003F0B83" w:rsidP="003B65B3">
            <w:pPr>
              <w:pStyle w:val="Default"/>
              <w:jc w:val="right"/>
              <w:rPr>
                <w:rFonts w:ascii="Arial Narrow" w:hAnsi="Arial Narrow"/>
                <w:sz w:val="22"/>
                <w:szCs w:val="22"/>
              </w:rPr>
            </w:pPr>
            <w:r w:rsidRPr="003B65B3">
              <w:rPr>
                <w:rFonts w:ascii="Arial Narrow" w:hAnsi="Arial Narrow"/>
                <w:sz w:val="22"/>
                <w:szCs w:val="22"/>
              </w:rPr>
              <w:t>$</w:t>
            </w:r>
            <w:r w:rsidR="00701ECB" w:rsidRPr="003B65B3">
              <w:rPr>
                <w:rFonts w:ascii="Arial Narrow" w:hAnsi="Arial Narrow"/>
                <w:sz w:val="22"/>
                <w:szCs w:val="22"/>
              </w:rPr>
              <w:t xml:space="preserve">     </w:t>
            </w:r>
            <w:r w:rsidR="003B65B3" w:rsidRPr="003B65B3">
              <w:rPr>
                <w:rFonts w:ascii="Arial Narrow" w:hAnsi="Arial Narrow"/>
                <w:sz w:val="22"/>
                <w:szCs w:val="22"/>
              </w:rPr>
              <w:t>X</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Differences in assumptions</w:t>
            </w:r>
          </w:p>
        </w:tc>
        <w:tc>
          <w:tcPr>
            <w:tcW w:w="1620" w:type="dxa"/>
            <w:shd w:val="clear" w:color="auto" w:fill="FFFF00"/>
          </w:tcPr>
          <w:p w:rsidR="003F0B83" w:rsidRPr="009D1BDC" w:rsidRDefault="003B65B3" w:rsidP="003E3D21">
            <w:pPr>
              <w:pStyle w:val="Default"/>
              <w:jc w:val="right"/>
              <w:rPr>
                <w:rFonts w:ascii="Arial Narrow" w:hAnsi="Arial Narrow"/>
                <w:sz w:val="22"/>
                <w:szCs w:val="22"/>
              </w:rPr>
            </w:pPr>
            <w:r>
              <w:rPr>
                <w:rFonts w:ascii="Arial Narrow" w:hAnsi="Arial Narrow"/>
                <w:sz w:val="22"/>
                <w:szCs w:val="22"/>
              </w:rPr>
              <w:t>X</w:t>
            </w:r>
          </w:p>
        </w:tc>
        <w:tc>
          <w:tcPr>
            <w:tcW w:w="1530" w:type="dxa"/>
            <w:shd w:val="clear" w:color="auto" w:fill="FFFF00"/>
          </w:tcPr>
          <w:p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Excess(deficit) Investment Returns</w:t>
            </w:r>
          </w:p>
        </w:tc>
        <w:tc>
          <w:tcPr>
            <w:tcW w:w="1620" w:type="dxa"/>
            <w:shd w:val="clear" w:color="auto" w:fill="FFFF00"/>
          </w:tcPr>
          <w:p w:rsidR="003F0B83" w:rsidRPr="009D1BDC" w:rsidRDefault="003B65B3" w:rsidP="003B65B3">
            <w:pPr>
              <w:pStyle w:val="Default"/>
              <w:jc w:val="right"/>
              <w:rPr>
                <w:rFonts w:ascii="Arial Narrow" w:hAnsi="Arial Narrow"/>
                <w:sz w:val="22"/>
                <w:szCs w:val="22"/>
              </w:rPr>
            </w:pPr>
            <w:r>
              <w:rPr>
                <w:rFonts w:ascii="Arial Narrow" w:hAnsi="Arial Narrow"/>
                <w:sz w:val="22"/>
                <w:szCs w:val="22"/>
              </w:rPr>
              <w:t>X</w:t>
            </w:r>
          </w:p>
        </w:tc>
        <w:tc>
          <w:tcPr>
            <w:tcW w:w="1530" w:type="dxa"/>
            <w:shd w:val="clear" w:color="auto" w:fill="FFFF00"/>
          </w:tcPr>
          <w:p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Total</w:t>
            </w:r>
          </w:p>
        </w:tc>
        <w:tc>
          <w:tcPr>
            <w:tcW w:w="1620" w:type="dxa"/>
            <w:shd w:val="clear" w:color="auto" w:fill="FFFF00"/>
          </w:tcPr>
          <w:p w:rsidR="003F0B83" w:rsidRPr="009D1BDC" w:rsidRDefault="003F0B83" w:rsidP="003B65B3">
            <w:pPr>
              <w:pStyle w:val="Default"/>
              <w:jc w:val="right"/>
              <w:rPr>
                <w:rFonts w:ascii="Arial Narrow" w:hAnsi="Arial Narrow"/>
                <w:sz w:val="22"/>
                <w:szCs w:val="22"/>
                <w:u w:val="double"/>
              </w:rPr>
            </w:pPr>
            <w:r w:rsidRPr="009D1BDC">
              <w:rPr>
                <w:rFonts w:ascii="Arial Narrow" w:hAnsi="Arial Narrow"/>
                <w:sz w:val="22"/>
                <w:szCs w:val="22"/>
                <w:u w:val="double"/>
              </w:rPr>
              <w:t>$</w:t>
            </w:r>
            <w:r w:rsidR="00701ECB" w:rsidRPr="009D1BDC">
              <w:rPr>
                <w:rFonts w:ascii="Arial Narrow" w:hAnsi="Arial Narrow"/>
                <w:sz w:val="22"/>
                <w:szCs w:val="22"/>
                <w:u w:val="double"/>
              </w:rPr>
              <w:t xml:space="preserve">    </w:t>
            </w:r>
            <w:r w:rsidRPr="009D1BDC">
              <w:rPr>
                <w:rFonts w:ascii="Arial Narrow" w:hAnsi="Arial Narrow"/>
                <w:sz w:val="22"/>
                <w:szCs w:val="22"/>
                <w:u w:val="double"/>
              </w:rPr>
              <w:t xml:space="preserve"> </w:t>
            </w:r>
            <w:r w:rsidR="003B65B3">
              <w:rPr>
                <w:rFonts w:ascii="Arial Narrow" w:hAnsi="Arial Narrow"/>
                <w:sz w:val="22"/>
                <w:szCs w:val="22"/>
                <w:u w:val="double"/>
              </w:rPr>
              <w:t>X</w:t>
            </w:r>
          </w:p>
        </w:tc>
        <w:tc>
          <w:tcPr>
            <w:tcW w:w="1530" w:type="dxa"/>
            <w:shd w:val="clear" w:color="auto" w:fill="FFFF00"/>
          </w:tcPr>
          <w:p w:rsidR="003F0B83" w:rsidRPr="003B65B3" w:rsidRDefault="003F0B83" w:rsidP="003B65B3">
            <w:pPr>
              <w:pStyle w:val="Default"/>
              <w:jc w:val="right"/>
              <w:rPr>
                <w:rFonts w:ascii="Arial Narrow" w:hAnsi="Arial Narrow"/>
                <w:sz w:val="22"/>
                <w:szCs w:val="22"/>
                <w:u w:val="double"/>
              </w:rPr>
            </w:pPr>
            <w:r w:rsidRPr="003B65B3">
              <w:rPr>
                <w:rFonts w:ascii="Arial Narrow" w:hAnsi="Arial Narrow"/>
                <w:sz w:val="22"/>
                <w:szCs w:val="22"/>
                <w:u w:val="double"/>
              </w:rPr>
              <w:t>$</w:t>
            </w:r>
            <w:r w:rsidR="00701ECB" w:rsidRPr="003B65B3">
              <w:rPr>
                <w:rFonts w:ascii="Arial Narrow" w:hAnsi="Arial Narrow"/>
                <w:sz w:val="22"/>
                <w:szCs w:val="22"/>
                <w:u w:val="double"/>
              </w:rPr>
              <w:t xml:space="preserve"> </w:t>
            </w:r>
            <w:r w:rsidR="003B65B3" w:rsidRPr="003B65B3">
              <w:rPr>
                <w:rFonts w:ascii="Arial Narrow" w:hAnsi="Arial Narrow"/>
                <w:sz w:val="22"/>
                <w:szCs w:val="22"/>
                <w:u w:val="double"/>
              </w:rPr>
              <w:t xml:space="preserve">    X    </w:t>
            </w:r>
            <w:r w:rsidR="00701ECB" w:rsidRPr="003B65B3">
              <w:rPr>
                <w:rFonts w:ascii="Arial Narrow" w:hAnsi="Arial Narrow"/>
                <w:sz w:val="22"/>
                <w:szCs w:val="22"/>
                <w:u w:val="double"/>
              </w:rPr>
              <w:t xml:space="preserve"> </w:t>
            </w:r>
          </w:p>
        </w:tc>
      </w:tr>
    </w:tbl>
    <w:p w:rsidR="006D6CC9" w:rsidRPr="009D1BDC" w:rsidRDefault="006D6CC9" w:rsidP="00AB3B4B">
      <w:pPr>
        <w:pStyle w:val="Default"/>
        <w:jc w:val="both"/>
        <w:rPr>
          <w:rFonts w:ascii="Arial Narrow" w:hAnsi="Arial Narrow"/>
          <w:sz w:val="22"/>
          <w:szCs w:val="22"/>
        </w:rPr>
      </w:pPr>
    </w:p>
    <w:p w:rsidR="00F67EE7" w:rsidRPr="009D1BDC" w:rsidRDefault="00F67EE7" w:rsidP="00AB3B4B">
      <w:pPr>
        <w:pStyle w:val="CM24"/>
        <w:spacing w:after="157" w:line="240" w:lineRule="atLeast"/>
        <w:ind w:right="162"/>
        <w:jc w:val="both"/>
        <w:rPr>
          <w:rFonts w:ascii="Arial Narrow" w:hAnsi="Arial Narrow" w:cs="Arial"/>
          <w:sz w:val="22"/>
          <w:szCs w:val="22"/>
        </w:rPr>
      </w:pPr>
      <w:r w:rsidRPr="009D1BDC">
        <w:rPr>
          <w:rFonts w:ascii="Arial Narrow" w:hAnsi="Arial Narrow" w:cs="Arial"/>
          <w:sz w:val="22"/>
          <w:szCs w:val="22"/>
        </w:rPr>
        <w:t xml:space="preserve">Amounts reported as deferred outflows and inflows of resources related to pensions </w:t>
      </w:r>
      <w:proofErr w:type="gramStart"/>
      <w:r w:rsidRPr="009D1BDC">
        <w:rPr>
          <w:rFonts w:ascii="Arial Narrow" w:hAnsi="Arial Narrow" w:cs="Arial"/>
          <w:sz w:val="22"/>
          <w:szCs w:val="22"/>
        </w:rPr>
        <w:t>will be recognized</w:t>
      </w:r>
      <w:proofErr w:type="gramEnd"/>
      <w:r w:rsidRPr="009D1BDC">
        <w:rPr>
          <w:rFonts w:ascii="Arial Narrow" w:hAnsi="Arial Narrow" w:cs="Arial"/>
          <w:sz w:val="22"/>
          <w:szCs w:val="22"/>
        </w:rPr>
        <w:t xml:space="preserve"> in pension expense as follows: </w:t>
      </w:r>
    </w:p>
    <w:tbl>
      <w:tblPr>
        <w:tblStyle w:val="TableGrid"/>
        <w:tblW w:w="0" w:type="auto"/>
        <w:jc w:val="center"/>
        <w:tblInd w:w="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5"/>
        <w:gridCol w:w="1800"/>
      </w:tblGrid>
      <w:tr w:rsidR="00701ECB" w:rsidRPr="009D1BDC" w:rsidTr="00804336">
        <w:trPr>
          <w:trHeight w:val="276"/>
          <w:jc w:val="center"/>
        </w:trPr>
        <w:tc>
          <w:tcPr>
            <w:tcW w:w="900" w:type="dxa"/>
            <w:tcBorders>
              <w:bottom w:val="single" w:sz="4" w:space="0" w:color="auto"/>
            </w:tcBorders>
            <w:noWrap/>
            <w:hideMark/>
          </w:tcPr>
          <w:p w:rsidR="00804336" w:rsidRDefault="00701ECB" w:rsidP="00804336">
            <w:pPr>
              <w:pStyle w:val="Default"/>
              <w:jc w:val="center"/>
              <w:rPr>
                <w:rFonts w:ascii="Arial Narrow" w:hAnsi="Arial Narrow"/>
                <w:sz w:val="22"/>
                <w:szCs w:val="22"/>
              </w:rPr>
            </w:pPr>
            <w:r w:rsidRPr="009D1BDC">
              <w:rPr>
                <w:rFonts w:ascii="Arial Narrow" w:hAnsi="Arial Narrow"/>
                <w:sz w:val="22"/>
                <w:szCs w:val="22"/>
              </w:rPr>
              <w:t xml:space="preserve">Year Ending </w:t>
            </w:r>
          </w:p>
          <w:p w:rsidR="00701ECB" w:rsidRPr="009D1BDC" w:rsidRDefault="00804336" w:rsidP="00804336">
            <w:pPr>
              <w:pStyle w:val="Default"/>
              <w:jc w:val="center"/>
              <w:rPr>
                <w:rFonts w:ascii="Arial Narrow" w:hAnsi="Arial Narrow"/>
                <w:sz w:val="22"/>
                <w:szCs w:val="22"/>
              </w:rPr>
            </w:pPr>
            <w:r>
              <w:rPr>
                <w:rFonts w:ascii="Arial Narrow" w:hAnsi="Arial Narrow"/>
                <w:sz w:val="22"/>
                <w:szCs w:val="22"/>
              </w:rPr>
              <w:t>June 30</w:t>
            </w:r>
          </w:p>
        </w:tc>
        <w:tc>
          <w:tcPr>
            <w:tcW w:w="265" w:type="dxa"/>
            <w:noWrap/>
            <w:hideMark/>
          </w:tcPr>
          <w:p w:rsidR="00701ECB" w:rsidRPr="009D1BDC" w:rsidRDefault="00701ECB" w:rsidP="003E3D21">
            <w:pPr>
              <w:pStyle w:val="Default"/>
              <w:jc w:val="center"/>
              <w:rPr>
                <w:rFonts w:ascii="Arial Narrow" w:hAnsi="Arial Narrow"/>
                <w:sz w:val="22"/>
                <w:szCs w:val="22"/>
              </w:rPr>
            </w:pPr>
          </w:p>
        </w:tc>
        <w:tc>
          <w:tcPr>
            <w:tcW w:w="1800" w:type="dxa"/>
            <w:tcBorders>
              <w:bottom w:val="single" w:sz="4" w:space="0" w:color="auto"/>
            </w:tcBorders>
            <w:noWrap/>
            <w:hideMark/>
          </w:tcPr>
          <w:p w:rsidR="00701ECB" w:rsidRPr="009D1BDC" w:rsidRDefault="00701ECB" w:rsidP="003E3D21">
            <w:pPr>
              <w:pStyle w:val="Default"/>
              <w:jc w:val="center"/>
              <w:rPr>
                <w:rFonts w:ascii="Arial Narrow" w:hAnsi="Arial Narrow"/>
                <w:sz w:val="22"/>
                <w:szCs w:val="22"/>
              </w:rPr>
            </w:pPr>
            <w:r w:rsidRPr="009D1BDC">
              <w:rPr>
                <w:rFonts w:ascii="Arial Narrow" w:hAnsi="Arial Narrow"/>
                <w:sz w:val="22"/>
                <w:szCs w:val="22"/>
              </w:rPr>
              <w:t>Net Deferred Outflows of Resources</w:t>
            </w:r>
          </w:p>
        </w:tc>
      </w:tr>
      <w:tr w:rsidR="00701ECB" w:rsidRPr="009D1BDC" w:rsidTr="00804336">
        <w:trPr>
          <w:trHeight w:val="144"/>
          <w:jc w:val="center"/>
        </w:trPr>
        <w:tc>
          <w:tcPr>
            <w:tcW w:w="900" w:type="dxa"/>
            <w:tcBorders>
              <w:top w:val="single" w:sz="4" w:space="0" w:color="auto"/>
            </w:tcBorders>
            <w:noWrap/>
            <w:hideMark/>
          </w:tcPr>
          <w:p w:rsidR="00701ECB" w:rsidRPr="009D1BDC" w:rsidRDefault="00701ECB" w:rsidP="00804336">
            <w:pPr>
              <w:pStyle w:val="CM22"/>
              <w:spacing w:after="230" w:line="243" w:lineRule="atLeast"/>
              <w:ind w:left="14"/>
              <w:rPr>
                <w:rFonts w:ascii="Arial Narrow" w:hAnsi="Arial Narrow" w:cs="Arial"/>
                <w:sz w:val="22"/>
                <w:szCs w:val="22"/>
              </w:rPr>
            </w:pPr>
            <w:r w:rsidRPr="009D1BDC">
              <w:rPr>
                <w:rFonts w:ascii="Arial Narrow" w:hAnsi="Arial Narrow" w:cs="Arial"/>
                <w:sz w:val="22"/>
                <w:szCs w:val="22"/>
              </w:rPr>
              <w:t>201</w:t>
            </w:r>
            <w:r w:rsidR="00804336">
              <w:rPr>
                <w:rFonts w:ascii="Arial Narrow" w:hAnsi="Arial Narrow" w:cs="Arial"/>
                <w:sz w:val="22"/>
                <w:szCs w:val="22"/>
              </w:rPr>
              <w:t>6</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tcBorders>
              <w:top w:val="single" w:sz="4" w:space="0" w:color="auto"/>
            </w:tcBorders>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804336">
        <w:trPr>
          <w:trHeight w:val="144"/>
          <w:jc w:val="center"/>
        </w:trPr>
        <w:tc>
          <w:tcPr>
            <w:tcW w:w="900" w:type="dxa"/>
            <w:noWrap/>
            <w:hideMark/>
          </w:tcPr>
          <w:p w:rsidR="00701ECB" w:rsidRPr="009D1BDC" w:rsidRDefault="00701ECB" w:rsidP="00804336">
            <w:pPr>
              <w:pStyle w:val="CM22"/>
              <w:spacing w:after="230" w:line="243" w:lineRule="atLeast"/>
              <w:rPr>
                <w:rFonts w:ascii="Arial Narrow" w:hAnsi="Arial Narrow" w:cs="Arial"/>
                <w:sz w:val="22"/>
                <w:szCs w:val="22"/>
              </w:rPr>
            </w:pPr>
            <w:r w:rsidRPr="009D1BDC">
              <w:rPr>
                <w:rFonts w:ascii="Arial Narrow" w:hAnsi="Arial Narrow" w:cs="Arial"/>
                <w:sz w:val="22"/>
                <w:szCs w:val="22"/>
              </w:rPr>
              <w:t>201</w:t>
            </w:r>
            <w:r w:rsidR="00804336">
              <w:rPr>
                <w:rFonts w:ascii="Arial Narrow" w:hAnsi="Arial Narrow" w:cs="Arial"/>
                <w:sz w:val="22"/>
                <w:szCs w:val="22"/>
              </w:rPr>
              <w:t>7</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804336">
        <w:trPr>
          <w:trHeight w:val="144"/>
          <w:jc w:val="center"/>
        </w:trPr>
        <w:tc>
          <w:tcPr>
            <w:tcW w:w="900" w:type="dxa"/>
            <w:noWrap/>
            <w:hideMark/>
          </w:tcPr>
          <w:p w:rsidR="00701ECB" w:rsidRPr="009D1BDC" w:rsidRDefault="00701ECB" w:rsidP="00804336">
            <w:pPr>
              <w:pStyle w:val="CM22"/>
              <w:spacing w:after="230" w:line="243" w:lineRule="atLeast"/>
              <w:rPr>
                <w:rFonts w:ascii="Arial Narrow" w:hAnsi="Arial Narrow" w:cs="Arial"/>
                <w:sz w:val="22"/>
                <w:szCs w:val="22"/>
              </w:rPr>
            </w:pPr>
            <w:r w:rsidRPr="009D1BDC">
              <w:rPr>
                <w:rFonts w:ascii="Arial Narrow" w:hAnsi="Arial Narrow" w:cs="Arial"/>
                <w:sz w:val="22"/>
                <w:szCs w:val="22"/>
              </w:rPr>
              <w:t>201</w:t>
            </w:r>
            <w:r w:rsidR="00804336">
              <w:rPr>
                <w:rFonts w:ascii="Arial Narrow" w:hAnsi="Arial Narrow" w:cs="Arial"/>
                <w:sz w:val="22"/>
                <w:szCs w:val="22"/>
              </w:rPr>
              <w:t>8</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804336">
        <w:trPr>
          <w:trHeight w:val="144"/>
          <w:jc w:val="center"/>
        </w:trPr>
        <w:tc>
          <w:tcPr>
            <w:tcW w:w="900" w:type="dxa"/>
            <w:noWrap/>
            <w:hideMark/>
          </w:tcPr>
          <w:p w:rsidR="00701ECB" w:rsidRPr="009D1BDC" w:rsidRDefault="00701ECB" w:rsidP="00804336">
            <w:pPr>
              <w:pStyle w:val="CM22"/>
              <w:spacing w:after="230" w:line="243" w:lineRule="atLeast"/>
              <w:rPr>
                <w:rFonts w:ascii="Arial Narrow" w:hAnsi="Arial Narrow" w:cs="Arial"/>
                <w:sz w:val="22"/>
                <w:szCs w:val="22"/>
              </w:rPr>
            </w:pPr>
            <w:r w:rsidRPr="009D1BDC">
              <w:rPr>
                <w:rFonts w:ascii="Arial Narrow" w:hAnsi="Arial Narrow" w:cs="Arial"/>
                <w:sz w:val="22"/>
                <w:szCs w:val="22"/>
              </w:rPr>
              <w:t>201</w:t>
            </w:r>
            <w:r w:rsidR="00804336">
              <w:rPr>
                <w:rFonts w:ascii="Arial Narrow" w:hAnsi="Arial Narrow" w:cs="Arial"/>
                <w:sz w:val="22"/>
                <w:szCs w:val="22"/>
              </w:rPr>
              <w:t>9</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804336">
        <w:trPr>
          <w:trHeight w:val="144"/>
          <w:jc w:val="center"/>
        </w:trPr>
        <w:tc>
          <w:tcPr>
            <w:tcW w:w="900" w:type="dxa"/>
            <w:noWrap/>
            <w:hideMark/>
          </w:tcPr>
          <w:p w:rsidR="00701ECB" w:rsidRPr="009D1BDC" w:rsidRDefault="00701ECB" w:rsidP="00804336">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804336">
              <w:rPr>
                <w:rFonts w:ascii="Arial Narrow" w:hAnsi="Arial Narrow" w:cs="Arial"/>
                <w:sz w:val="22"/>
                <w:szCs w:val="22"/>
              </w:rPr>
              <w:t>20</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   </w:t>
            </w:r>
          </w:p>
        </w:tc>
      </w:tr>
      <w:tr w:rsidR="00701ECB" w:rsidRPr="009D1BDC" w:rsidTr="00804336">
        <w:trPr>
          <w:trHeight w:val="144"/>
          <w:jc w:val="center"/>
        </w:trPr>
        <w:tc>
          <w:tcPr>
            <w:tcW w:w="900" w:type="dxa"/>
            <w:noWrap/>
            <w:hideMark/>
          </w:tcPr>
          <w:p w:rsidR="00701ECB" w:rsidRPr="009D1BDC" w:rsidRDefault="00701ECB" w:rsidP="003E3D21">
            <w:pPr>
              <w:pStyle w:val="CM22"/>
              <w:spacing w:after="230" w:line="243" w:lineRule="atLeast"/>
              <w:rPr>
                <w:rFonts w:ascii="Arial Narrow" w:hAnsi="Arial Narrow" w:cs="Arial"/>
                <w:sz w:val="22"/>
                <w:szCs w:val="22"/>
              </w:rPr>
            </w:pPr>
            <w:r w:rsidRPr="009D1BDC">
              <w:rPr>
                <w:rFonts w:ascii="Arial Narrow" w:hAnsi="Arial Narrow" w:cs="Arial"/>
                <w:sz w:val="22"/>
                <w:szCs w:val="22"/>
              </w:rPr>
              <w:t>Thereafter</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  </w:t>
            </w:r>
          </w:p>
        </w:tc>
      </w:tr>
      <w:tr w:rsidR="00701ECB" w:rsidRPr="009D1BDC" w:rsidTr="00804336">
        <w:trPr>
          <w:trHeight w:val="144"/>
          <w:jc w:val="center"/>
        </w:trPr>
        <w:tc>
          <w:tcPr>
            <w:tcW w:w="900" w:type="dxa"/>
            <w:noWrap/>
            <w:hideMark/>
          </w:tcPr>
          <w:p w:rsidR="00701ECB" w:rsidRPr="009D1BDC" w:rsidRDefault="00701ECB" w:rsidP="003E3D21">
            <w:pPr>
              <w:pStyle w:val="CM22"/>
              <w:spacing w:after="230" w:line="243" w:lineRule="atLeast"/>
              <w:rPr>
                <w:rFonts w:ascii="Arial Narrow" w:hAnsi="Arial Narrow" w:cs="Arial"/>
                <w:b/>
                <w:bCs/>
                <w:sz w:val="22"/>
                <w:szCs w:val="22"/>
              </w:rPr>
            </w:pPr>
            <w:r w:rsidRPr="009D1BDC">
              <w:rPr>
                <w:rFonts w:ascii="Arial Narrow" w:hAnsi="Arial Narrow" w:cs="Arial"/>
                <w:b/>
                <w:bCs/>
                <w:sz w:val="22"/>
                <w:szCs w:val="22"/>
              </w:rPr>
              <w:t>Total</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b/>
                <w:bCs/>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u w:val="single"/>
              </w:rPr>
            </w:pPr>
            <w:r w:rsidRPr="009D1BDC">
              <w:rPr>
                <w:rFonts w:ascii="Arial Narrow" w:hAnsi="Arial Narrow" w:cs="Arial"/>
                <w:sz w:val="22"/>
                <w:szCs w:val="22"/>
                <w:u w:val="single"/>
              </w:rPr>
              <w:t xml:space="preserve"> $  </w:t>
            </w:r>
          </w:p>
        </w:tc>
      </w:tr>
    </w:tbl>
    <w:p w:rsidR="00701ECB" w:rsidRDefault="00701ECB" w:rsidP="00AB3B4B">
      <w:pPr>
        <w:pStyle w:val="CM19"/>
        <w:spacing w:after="85"/>
        <w:jc w:val="both"/>
        <w:rPr>
          <w:rFonts w:ascii="Arial Narrow" w:hAnsi="Arial Narrow" w:cs="Arial"/>
          <w:sz w:val="22"/>
          <w:szCs w:val="22"/>
        </w:rPr>
      </w:pPr>
    </w:p>
    <w:p w:rsidR="00505892" w:rsidRDefault="00505892" w:rsidP="00505892">
      <w:pPr>
        <w:pStyle w:val="Default"/>
      </w:pPr>
    </w:p>
    <w:p w:rsidR="00107FED" w:rsidRDefault="00107FED" w:rsidP="00505892">
      <w:pPr>
        <w:pStyle w:val="Default"/>
      </w:pPr>
    </w:p>
    <w:p w:rsidR="00107FED" w:rsidRDefault="00107FED" w:rsidP="00505892">
      <w:pPr>
        <w:pStyle w:val="Default"/>
      </w:pPr>
    </w:p>
    <w:p w:rsidR="00107FED" w:rsidRDefault="00107FED" w:rsidP="00505892">
      <w:pPr>
        <w:pStyle w:val="Default"/>
      </w:pPr>
    </w:p>
    <w:p w:rsidR="00804336" w:rsidRPr="00505892" w:rsidRDefault="00804336" w:rsidP="00505892">
      <w:pPr>
        <w:pStyle w:val="Default"/>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A42ADE">
        <w:rPr>
          <w:rFonts w:ascii="Arial Narrow" w:hAnsi="Arial Narrow"/>
        </w:rPr>
        <w:lastRenderedPageBreak/>
        <w:t xml:space="preserve">Notes to the financial statements </w:t>
      </w:r>
      <w:r w:rsidR="00421618">
        <w:rPr>
          <w:rFonts w:ascii="Arial Narrow" w:hAnsi="Arial Narrow"/>
        </w:rPr>
        <w:t xml:space="preserve">- </w:t>
      </w:r>
      <w:r w:rsidR="00421618" w:rsidRPr="00421618">
        <w:rPr>
          <w:rFonts w:ascii="Arial Narrow" w:hAnsi="Arial Narrow"/>
          <w:i/>
        </w:rPr>
        <w:t xml:space="preserve">when employees </w:t>
      </w:r>
      <w:proofErr w:type="gramStart"/>
      <w:r w:rsidR="00421618" w:rsidRPr="00421618">
        <w:rPr>
          <w:rFonts w:ascii="Arial Narrow" w:hAnsi="Arial Narrow"/>
          <w:i/>
        </w:rPr>
        <w:t>are covered</w:t>
      </w:r>
      <w:proofErr w:type="gramEnd"/>
      <w:r w:rsidR="00421618" w:rsidRPr="00421618">
        <w:rPr>
          <w:rFonts w:ascii="Arial Narrow" w:hAnsi="Arial Narrow"/>
          <w:i/>
        </w:rPr>
        <w:t xml:space="preserve"> by more than one plan</w:t>
      </w: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roofErr w:type="gramStart"/>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w:t>
      </w:r>
      <w:proofErr w:type="gramEnd"/>
      <w:r w:rsidRPr="00A42ADE">
        <w:rPr>
          <w:rFonts w:ascii="Arial Narrow" w:hAnsi="Arial Narrow"/>
        </w:rPr>
        <w:t xml:space="preserve"> (par</w:t>
      </w:r>
      <w:r>
        <w:rPr>
          <w:rFonts w:ascii="Arial Narrow" w:hAnsi="Arial Narrow"/>
        </w:rPr>
        <w:t>.</w:t>
      </w:r>
      <w:r w:rsidRPr="00A42ADE">
        <w:rPr>
          <w:rFonts w:ascii="Arial Narrow" w:hAnsi="Arial Narrow"/>
        </w:rPr>
        <w:t xml:space="preserve"> 37 </w:t>
      </w:r>
      <w:proofErr w:type="spellStart"/>
      <w:r w:rsidRPr="00A42ADE">
        <w:rPr>
          <w:rFonts w:ascii="Arial Narrow" w:hAnsi="Arial Narrow"/>
        </w:rPr>
        <w:t>GASB</w:t>
      </w:r>
      <w:proofErr w:type="spellEnd"/>
      <w:r w:rsidRPr="00A42ADE">
        <w:rPr>
          <w:rFonts w:ascii="Arial Narrow" w:hAnsi="Arial Narrow"/>
        </w:rPr>
        <w:t xml:space="preserve"> 68)</w:t>
      </w:r>
    </w:p>
    <w:p w:rsidR="00545F0A"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 xml:space="preserve">Disclosures related to more than one pension plan </w:t>
      </w:r>
      <w:proofErr w:type="gramStart"/>
      <w:r w:rsidRPr="00A42ADE">
        <w:rPr>
          <w:rFonts w:ascii="Arial Narrow" w:hAnsi="Arial Narrow"/>
        </w:rPr>
        <w:t>should be combined</w:t>
      </w:r>
      <w:proofErr w:type="gramEnd"/>
      <w:r w:rsidRPr="00A42ADE">
        <w:rPr>
          <w:rFonts w:ascii="Arial Narrow" w:hAnsi="Arial Narrow"/>
        </w:rPr>
        <w:t xml:space="preserve">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w:t>
      </w:r>
      <w:proofErr w:type="spellStart"/>
      <w:r w:rsidRPr="00A42ADE">
        <w:rPr>
          <w:rFonts w:ascii="Arial Narrow" w:hAnsi="Arial Narrow"/>
        </w:rPr>
        <w:t>GASB</w:t>
      </w:r>
      <w:proofErr w:type="spellEnd"/>
      <w:r w:rsidRPr="00A42ADE">
        <w:rPr>
          <w:rFonts w:ascii="Arial Narrow" w:hAnsi="Arial Narrow"/>
        </w:rPr>
        <w:t xml:space="preserve"> 68)</w:t>
      </w:r>
    </w:p>
    <w:p w:rsidR="00545F0A" w:rsidRDefault="00545F0A" w:rsidP="00545F0A">
      <w:pPr>
        <w:pBdr>
          <w:top w:val="single" w:sz="4" w:space="1" w:color="auto"/>
          <w:left w:val="single" w:sz="4" w:space="4" w:color="auto"/>
          <w:bottom w:val="single" w:sz="4" w:space="1" w:color="auto"/>
          <w:right w:val="single" w:sz="4" w:space="4" w:color="auto"/>
        </w:pBdr>
        <w:shd w:val="clear" w:color="auto" w:fill="FBD4B4" w:themeFill="accent6" w:themeFillTint="66"/>
        <w:jc w:val="both"/>
      </w:pPr>
    </w:p>
    <w:p w:rsidR="00493D73" w:rsidRDefault="00493D73" w:rsidP="00493D73">
      <w:pPr>
        <w:pStyle w:val="Default"/>
      </w:pPr>
    </w:p>
    <w:p w:rsidR="00493D73" w:rsidRDefault="00493D73" w:rsidP="00493D73">
      <w:pPr>
        <w:pStyle w:val="Default"/>
      </w:pPr>
    </w:p>
    <w:p w:rsidR="00107FED" w:rsidRPr="00A736ED" w:rsidRDefault="00107FED" w:rsidP="00107FED">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Pr>
          <w:rFonts w:ascii="Arial Narrow" w:hAnsi="Arial Narrow" w:cs="Arial"/>
          <w:b/>
        </w:rPr>
        <w:t xml:space="preserve">   </w:t>
      </w:r>
    </w:p>
    <w:p w:rsidR="00107FED" w:rsidRPr="00824002" w:rsidRDefault="00107FED" w:rsidP="00107FED">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rsidR="00107FED" w:rsidRPr="00F2067B" w:rsidRDefault="00107FED" w:rsidP="00107FED">
      <w:pPr>
        <w:pStyle w:val="NoSpacing"/>
        <w:jc w:val="both"/>
        <w:rPr>
          <w:rFonts w:ascii="Arial Narrow" w:hAnsi="Arial Narrow"/>
        </w:rPr>
      </w:pPr>
      <w:r w:rsidRPr="00F2067B">
        <w:rPr>
          <w:rFonts w:ascii="Arial Narrow" w:hAnsi="Arial Narrow"/>
        </w:rPr>
        <w:t xml:space="preserve">Employees participating in the defined benefit plan, as described above, also participate in a defined contribution plan authorized by General Law Chapter 36-10.3.  The defined contribution plan </w:t>
      </w:r>
      <w:proofErr w:type="gramStart"/>
      <w:r w:rsidRPr="00F2067B">
        <w:rPr>
          <w:rFonts w:ascii="Arial Narrow" w:hAnsi="Arial Narrow"/>
        </w:rPr>
        <w:t>is established</w:t>
      </w:r>
      <w:proofErr w:type="gramEnd"/>
      <w:r w:rsidRPr="00F2067B">
        <w:rPr>
          <w:rFonts w:ascii="Arial Narrow" w:hAnsi="Arial Narrow"/>
        </w:rPr>
        <w:t xml:space="preserve"> under IRS section 401(a) and is administered by </w:t>
      </w:r>
      <w:proofErr w:type="spellStart"/>
      <w:r w:rsidRPr="00F2067B">
        <w:rPr>
          <w:rFonts w:ascii="Arial Narrow" w:hAnsi="Arial Narrow"/>
        </w:rPr>
        <w:t>TIAA-CREF</w:t>
      </w:r>
      <w:proofErr w:type="spellEnd"/>
      <w:r w:rsidRPr="00F2067B">
        <w:rPr>
          <w:rFonts w:ascii="Arial Narrow" w:hAnsi="Arial Narrow"/>
        </w:rPr>
        <w:t xml:space="preserve">.  Employees may choose among various investment options available to plan participants.   Employees contribute </w:t>
      </w:r>
      <w:proofErr w:type="gramStart"/>
      <w:r w:rsidRPr="00107FED">
        <w:rPr>
          <w:rFonts w:ascii="Arial Narrow" w:hAnsi="Arial Narrow"/>
          <w:highlight w:val="yellow"/>
        </w:rPr>
        <w:t>X%</w:t>
      </w:r>
      <w:proofErr w:type="gramEnd"/>
      <w:r>
        <w:rPr>
          <w:rFonts w:ascii="Arial Narrow" w:hAnsi="Arial Narrow"/>
        </w:rPr>
        <w:t xml:space="preserve"> </w:t>
      </w:r>
      <w:r w:rsidRPr="00107FED">
        <w:rPr>
          <w:rFonts w:ascii="Arial Narrow" w:hAnsi="Arial Narrow"/>
          <w:highlight w:val="yellow"/>
        </w:rPr>
        <w:t>(see below)</w:t>
      </w:r>
      <w:r w:rsidRPr="00F2067B">
        <w:rPr>
          <w:rFonts w:ascii="Arial Narrow" w:hAnsi="Arial Narrow"/>
        </w:rPr>
        <w:t xml:space="preserve"> of their annual covered salary and employers contribute 1% of annual covered salary.  Employee contributions </w:t>
      </w:r>
      <w:proofErr w:type="gramStart"/>
      <w:r w:rsidRPr="00F2067B">
        <w:rPr>
          <w:rFonts w:ascii="Arial Narrow" w:hAnsi="Arial Narrow"/>
        </w:rPr>
        <w:t>are immediately vested</w:t>
      </w:r>
      <w:proofErr w:type="gramEnd"/>
      <w:r w:rsidRPr="00F2067B">
        <w:rPr>
          <w:rFonts w:ascii="Arial Narrow" w:hAnsi="Arial Narrow"/>
        </w:rPr>
        <w:t xml:space="preserve"> while employer contributions</w:t>
      </w:r>
      <w:r>
        <w:rPr>
          <w:rFonts w:ascii="Arial Narrow" w:hAnsi="Arial Narrow"/>
        </w:rPr>
        <w:t xml:space="preserve"> and any investment earnings thereon</w:t>
      </w:r>
      <w:r w:rsidRPr="00F2067B">
        <w:rPr>
          <w:rFonts w:ascii="Arial Narrow" w:hAnsi="Arial Narrow"/>
        </w:rPr>
        <w:t xml:space="preserve"> are vested after three years of contributory service.  </w:t>
      </w:r>
      <w:r>
        <w:rPr>
          <w:rFonts w:ascii="Arial Narrow" w:hAnsi="Arial Narrow"/>
        </w:rPr>
        <w:t>Benefit terms and c</w:t>
      </w:r>
      <w:r w:rsidRPr="00F2067B">
        <w:rPr>
          <w:rFonts w:ascii="Arial Narrow" w:hAnsi="Arial Narrow"/>
        </w:rPr>
        <w:t xml:space="preserve">ontributions required under the plan by both the employee and employer </w:t>
      </w:r>
      <w:proofErr w:type="gramStart"/>
      <w:r w:rsidRPr="00F2067B">
        <w:rPr>
          <w:rFonts w:ascii="Arial Narrow" w:hAnsi="Arial Narrow"/>
        </w:rPr>
        <w:t>are established</w:t>
      </w:r>
      <w:proofErr w:type="gramEnd"/>
      <w:r w:rsidRPr="00F2067B">
        <w:rPr>
          <w:rFonts w:ascii="Arial Narrow" w:hAnsi="Arial Narrow"/>
        </w:rPr>
        <w:t xml:space="preserve"> by the General Laws, which are subject to amendment by the General Assembly.</w:t>
      </w:r>
    </w:p>
    <w:p w:rsidR="00107FED" w:rsidRDefault="00107FED" w:rsidP="00107FED">
      <w:pPr>
        <w:pStyle w:val="NoSpacing"/>
        <w:jc w:val="both"/>
        <w:rPr>
          <w:rFonts w:ascii="Arial Narrow" w:hAnsi="Arial Narrow"/>
        </w:rPr>
      </w:pPr>
    </w:p>
    <w:p w:rsidR="00107FED" w:rsidRPr="00F2067B" w:rsidRDefault="00107FED" w:rsidP="00107FED">
      <w:pPr>
        <w:pStyle w:val="NoSpacing"/>
        <w:jc w:val="both"/>
        <w:rPr>
          <w:rFonts w:ascii="Arial Narrow" w:hAnsi="Arial Narrow"/>
        </w:rPr>
      </w:pPr>
      <w:r w:rsidRPr="00F2067B">
        <w:rPr>
          <w:rFonts w:ascii="Arial Narrow" w:hAnsi="Arial Narrow"/>
        </w:rPr>
        <w:t xml:space="preserve">As previously indicated in the disclosure of recently-enacted pension legislation, the employer </w:t>
      </w:r>
      <w:proofErr w:type="gramStart"/>
      <w:r w:rsidRPr="00F2067B">
        <w:rPr>
          <w:rFonts w:ascii="Arial Narrow" w:hAnsi="Arial Narrow"/>
        </w:rPr>
        <w:t>contribution for certain</w:t>
      </w:r>
      <w:proofErr w:type="gramEnd"/>
      <w:r w:rsidRPr="00F2067B">
        <w:rPr>
          <w:rFonts w:ascii="Arial Narrow" w:hAnsi="Arial Narrow"/>
        </w:rPr>
        <w:t xml:space="preserve"> qualifying employees will increase slightly beginning in fiscal 2016. </w:t>
      </w:r>
    </w:p>
    <w:p w:rsidR="00107FED" w:rsidRDefault="00107FED" w:rsidP="00107FED">
      <w:pPr>
        <w:pStyle w:val="NoSpacing"/>
        <w:jc w:val="both"/>
        <w:rPr>
          <w:rFonts w:ascii="Arial Narrow" w:hAnsi="Arial Narrow"/>
        </w:rPr>
      </w:pPr>
    </w:p>
    <w:p w:rsidR="00107FED" w:rsidRPr="00F2067B" w:rsidRDefault="00107FED" w:rsidP="00107FED">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rsidR="00107FED" w:rsidRDefault="00107FED" w:rsidP="00107FED">
      <w:pPr>
        <w:pStyle w:val="NoSpacing"/>
        <w:jc w:val="both"/>
        <w:rPr>
          <w:rFonts w:ascii="Arial Narrow" w:hAnsi="Arial Narrow"/>
        </w:rPr>
      </w:pPr>
    </w:p>
    <w:p w:rsidR="00107FED" w:rsidRDefault="00107FED" w:rsidP="00107FED">
      <w:pPr>
        <w:pStyle w:val="NoSpacing"/>
        <w:jc w:val="both"/>
        <w:rPr>
          <w:rFonts w:ascii="Arial Narrow" w:hAnsi="Arial Narrow"/>
        </w:rPr>
      </w:pPr>
      <w:r w:rsidRPr="00F2067B">
        <w:rPr>
          <w:rFonts w:ascii="Arial Narrow" w:hAnsi="Arial Narrow"/>
        </w:rPr>
        <w:t xml:space="preserve">The </w:t>
      </w:r>
      <w:r w:rsidRPr="00F2067B">
        <w:rPr>
          <w:rFonts w:ascii="Arial Narrow" w:eastAsia="Times New Roman" w:hAnsi="Arial Narrow" w:cs="Arial"/>
          <w:b/>
        </w:rPr>
        <w:t xml:space="preserve">(Name of </w:t>
      </w:r>
      <w:r>
        <w:rPr>
          <w:rFonts w:ascii="Arial Narrow" w:eastAsia="Times New Roman" w:hAnsi="Arial Narrow" w:cs="Arial"/>
          <w:b/>
        </w:rPr>
        <w:t xml:space="preserve">Employer </w:t>
      </w:r>
      <w:r w:rsidRPr="00F2067B">
        <w:rPr>
          <w:rFonts w:ascii="Arial Narrow" w:eastAsia="Times New Roman" w:hAnsi="Arial Narrow" w:cs="Arial"/>
          <w:b/>
        </w:rPr>
        <w:t xml:space="preserve">Unit) </w:t>
      </w:r>
      <w:r w:rsidRPr="00AA1892">
        <w:rPr>
          <w:rFonts w:ascii="Arial Narrow" w:eastAsia="Times New Roman" w:hAnsi="Arial Narrow" w:cs="Arial"/>
        </w:rPr>
        <w:t>recognized pension expense of</w:t>
      </w:r>
      <w:r>
        <w:rPr>
          <w:rFonts w:ascii="Arial Narrow" w:eastAsia="Times New Roman" w:hAnsi="Arial Narrow" w:cs="Arial"/>
          <w:b/>
        </w:rPr>
        <w:t xml:space="preserve"> </w:t>
      </w:r>
      <w:r w:rsidRPr="00AA1892">
        <w:rPr>
          <w:rFonts w:ascii="Arial Narrow" w:hAnsi="Arial Narrow"/>
          <w:highlight w:val="yellow"/>
        </w:rPr>
        <w:t>$</w:t>
      </w:r>
      <w:proofErr w:type="spellStart"/>
      <w:r w:rsidRPr="00AA1892">
        <w:rPr>
          <w:rFonts w:ascii="Arial Narrow" w:hAnsi="Arial Narrow"/>
          <w:highlight w:val="yellow"/>
        </w:rPr>
        <w:t>XXX</w:t>
      </w:r>
      <w:proofErr w:type="gramStart"/>
      <w:r w:rsidRPr="00AA1892">
        <w:rPr>
          <w:rFonts w:ascii="Arial Narrow" w:hAnsi="Arial Narrow"/>
          <w:highlight w:val="yellow"/>
        </w:rPr>
        <w:t>,XXX</w:t>
      </w:r>
      <w:proofErr w:type="spellEnd"/>
      <w:proofErr w:type="gramEnd"/>
      <w:r w:rsidRPr="00F2067B">
        <w:rPr>
          <w:rFonts w:ascii="Arial Narrow" w:hAnsi="Arial Narrow"/>
        </w:rPr>
        <w:t xml:space="preserve">, </w:t>
      </w:r>
      <w:r>
        <w:rPr>
          <w:rFonts w:ascii="Arial Narrow" w:hAnsi="Arial Narrow"/>
        </w:rPr>
        <w:t xml:space="preserve">for the </w:t>
      </w:r>
      <w:r w:rsidRPr="00F2067B">
        <w:rPr>
          <w:rFonts w:ascii="Arial Narrow" w:hAnsi="Arial Narrow"/>
        </w:rPr>
        <w:t>fiscal year ended June 30, 2015.</w:t>
      </w:r>
    </w:p>
    <w:p w:rsidR="00107FED" w:rsidRPr="00F2067B" w:rsidRDefault="00107FED" w:rsidP="00107FED">
      <w:pPr>
        <w:pStyle w:val="NoSpacing"/>
        <w:jc w:val="both"/>
        <w:rPr>
          <w:rFonts w:ascii="Arial Narrow" w:hAnsi="Arial Narrow"/>
        </w:rPr>
      </w:pPr>
    </w:p>
    <w:p w:rsidR="00107FED" w:rsidRPr="00F2067B" w:rsidRDefault="00107FED" w:rsidP="00107FED">
      <w:pPr>
        <w:pStyle w:val="NoSpacing"/>
        <w:jc w:val="both"/>
        <w:rPr>
          <w:rFonts w:ascii="Arial Narrow" w:hAnsi="Arial Narrow"/>
        </w:rPr>
      </w:pPr>
      <w:r w:rsidRPr="00F2067B">
        <w:rPr>
          <w:rFonts w:ascii="Arial Narrow" w:hAnsi="Arial Narrow"/>
        </w:rPr>
        <w:t xml:space="preserve">The System issues a publicly available financial report that includes financial statements and required supplementary information for plans administered by the system.  </w:t>
      </w:r>
      <w:r w:rsidRPr="00F2067B">
        <w:rPr>
          <w:rFonts w:ascii="Arial Narrow" w:eastAsia="Times New Roman" w:hAnsi="Arial Narrow" w:cs="Arial"/>
        </w:rPr>
        <w:t xml:space="preserve">The report </w:t>
      </w:r>
      <w:proofErr w:type="gramStart"/>
      <w:r w:rsidRPr="00F2067B">
        <w:rPr>
          <w:rFonts w:ascii="Arial Narrow" w:eastAsia="Times New Roman" w:hAnsi="Arial Narrow" w:cs="Arial"/>
        </w:rPr>
        <w:t>may be obtained</w:t>
      </w:r>
      <w:proofErr w:type="gramEnd"/>
      <w:r w:rsidRPr="00F2067B">
        <w:rPr>
          <w:rFonts w:ascii="Arial Narrow" w:eastAsia="Times New Roman" w:hAnsi="Arial Narrow" w:cs="Arial"/>
        </w:rPr>
        <w:t xml:space="preserve"> at </w:t>
      </w:r>
      <w:hyperlink r:id="rId12" w:history="1">
        <w:r w:rsidRPr="00F2067B">
          <w:rPr>
            <w:rFonts w:ascii="Arial Narrow" w:eastAsia="Times New Roman" w:hAnsi="Arial Narrow" w:cs="Arial"/>
          </w:rPr>
          <w:t>http://www.ersri.org</w:t>
        </w:r>
      </w:hyperlink>
      <w:r w:rsidRPr="00F2067B">
        <w:rPr>
          <w:rFonts w:ascii="Arial Narrow" w:eastAsia="Times New Roman" w:hAnsi="Arial Narrow" w:cs="Arial"/>
        </w:rPr>
        <w:t>.</w:t>
      </w:r>
    </w:p>
    <w:p w:rsidR="00493D73" w:rsidRDefault="00493D73" w:rsidP="00493D73">
      <w:pPr>
        <w:pStyle w:val="Default"/>
      </w:pPr>
    </w:p>
    <w:p w:rsidR="00107FED" w:rsidRDefault="00107FED" w:rsidP="00493D73">
      <w:pPr>
        <w:pStyle w:val="Default"/>
      </w:pPr>
    </w:p>
    <w:p w:rsidR="00107FED" w:rsidRDefault="00107FED" w:rsidP="00107FED">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r>
        <w:rPr>
          <w:rFonts w:ascii="Arial Narrow" w:hAnsi="Arial Narrow"/>
          <w:b/>
          <w:i/>
        </w:rPr>
        <w:t>See contribution rates for various employee cate</w:t>
      </w:r>
      <w:bookmarkStart w:id="2" w:name="_GoBack"/>
      <w:bookmarkEnd w:id="2"/>
      <w:r>
        <w:rPr>
          <w:rFonts w:ascii="Arial Narrow" w:hAnsi="Arial Narrow"/>
          <w:b/>
          <w:i/>
        </w:rPr>
        <w:t>gories:</w:t>
      </w:r>
    </w:p>
    <w:p w:rsidR="00107FED" w:rsidRDefault="00107FED" w:rsidP="00107FED">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p>
    <w:p w:rsidR="00107FED" w:rsidRPr="00107FED" w:rsidRDefault="00107FED" w:rsidP="00107FED">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107FED">
        <w:rPr>
          <w:rFonts w:ascii="Arial Narrow" w:hAnsi="Arial Narrow"/>
          <w:b/>
          <w:i/>
        </w:rPr>
        <w:t>Contributions</w:t>
      </w:r>
      <w:r w:rsidRPr="00107FED">
        <w:rPr>
          <w:rFonts w:ascii="Arial Narrow" w:hAnsi="Arial Narrow"/>
        </w:rPr>
        <w:t xml:space="preserve"> – the plan’s benefits </w:t>
      </w:r>
      <w:proofErr w:type="gramStart"/>
      <w:r w:rsidRPr="00107FED">
        <w:rPr>
          <w:rFonts w:ascii="Arial Narrow" w:hAnsi="Arial Narrow"/>
        </w:rPr>
        <w:t>are funded</w:t>
      </w:r>
      <w:proofErr w:type="gramEnd"/>
      <w:r w:rsidRPr="00107FED">
        <w:rPr>
          <w:rFonts w:ascii="Arial Narrow" w:hAnsi="Arial Narrow"/>
        </w:rPr>
        <w:t xml:space="preserve"> by contributions from the participants and the employer, as specified in Rhode Island General Law 36-10.3-4 and 36-10.3-5.  Eligible state employees and teachers and </w:t>
      </w:r>
      <w:proofErr w:type="spellStart"/>
      <w:r w:rsidRPr="00107FED">
        <w:rPr>
          <w:rFonts w:ascii="Arial Narrow" w:hAnsi="Arial Narrow"/>
        </w:rPr>
        <w:t>MERS</w:t>
      </w:r>
      <w:proofErr w:type="spellEnd"/>
      <w:r w:rsidRPr="00107FED">
        <w:rPr>
          <w:rFonts w:ascii="Arial Narrow" w:hAnsi="Arial Narrow"/>
        </w:rPr>
        <w:t xml:space="preserve"> general employees that participate in Social Security contribute 5% of the member’s compensation.  Employers contribute to these member’s individual accounts an amount equal to 1% of the member’s compensation.     </w:t>
      </w:r>
    </w:p>
    <w:p w:rsidR="00107FED" w:rsidRPr="00107FED" w:rsidRDefault="00107FED" w:rsidP="00107FED">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rsidR="00107FED" w:rsidRDefault="00107FED" w:rsidP="00107FED">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107FED">
        <w:rPr>
          <w:rFonts w:ascii="Arial Narrow" w:hAnsi="Arial Narrow"/>
        </w:rPr>
        <w:t xml:space="preserve">Teachers and </w:t>
      </w:r>
      <w:proofErr w:type="spellStart"/>
      <w:r w:rsidRPr="00107FED">
        <w:rPr>
          <w:rFonts w:ascii="Arial Narrow" w:hAnsi="Arial Narrow"/>
        </w:rPr>
        <w:t>MERS</w:t>
      </w:r>
      <w:proofErr w:type="spellEnd"/>
      <w:r w:rsidRPr="00107FED">
        <w:rPr>
          <w:rFonts w:ascii="Arial Narrow" w:hAnsi="Arial Narrow"/>
        </w:rPr>
        <w:t xml:space="preserve"> general employees not covered by social security must contribute 7% of their compensation; employers contribute to these member’s individual accounts an amount equal to 3% of the member’s compensation.  </w:t>
      </w:r>
      <w:proofErr w:type="spellStart"/>
      <w:r w:rsidRPr="00107FED">
        <w:rPr>
          <w:rFonts w:ascii="Arial Narrow" w:hAnsi="Arial Narrow"/>
        </w:rPr>
        <w:t>MERS</w:t>
      </w:r>
      <w:proofErr w:type="spellEnd"/>
      <w:r w:rsidRPr="00107FED">
        <w:rPr>
          <w:rFonts w:ascii="Arial Narrow" w:hAnsi="Arial Narrow"/>
        </w:rPr>
        <w:t xml:space="preserve"> police and fire employees not covered by social security must contribute 3%; employers contribute to these member’s individual accounts an amount equal to 3% of the member’s compensation.</w:t>
      </w:r>
    </w:p>
    <w:p w:rsidR="00107FED" w:rsidRDefault="00107FED" w:rsidP="00493D73">
      <w:pPr>
        <w:pStyle w:val="Default"/>
      </w:pPr>
    </w:p>
    <w:sectPr w:rsidR="00107FED" w:rsidSect="003B65B3">
      <w:footerReference w:type="default" r:id="rId13"/>
      <w:pgSz w:w="12240" w:h="15840" w:code="1"/>
      <w:pgMar w:top="1152" w:right="1440" w:bottom="720" w:left="144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A7" w:rsidRDefault="00C208A7" w:rsidP="001B57B0">
      <w:pPr>
        <w:spacing w:after="0" w:line="240" w:lineRule="auto"/>
      </w:pPr>
      <w:r>
        <w:separator/>
      </w:r>
    </w:p>
  </w:endnote>
  <w:endnote w:type="continuationSeparator" w:id="0">
    <w:p w:rsidR="00C208A7" w:rsidRDefault="00C208A7" w:rsidP="001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Neue LT Pro CnMedium">
    <w:altName w:val="Frutiger Neue LT Pro Cn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EB" w:rsidRDefault="00BB07EB">
    <w:pPr>
      <w:pStyle w:val="Footer"/>
      <w:rPr>
        <w:rFonts w:ascii="Arial Narrow" w:hAnsi="Arial Narrow"/>
        <w:color w:val="808080" w:themeColor="background1" w:themeShade="80"/>
        <w:spacing w:val="60"/>
      </w:rPr>
    </w:pPr>
  </w:p>
  <w:p w:rsidR="001B57B0" w:rsidRPr="00AB3B4B" w:rsidRDefault="00AB3B4B">
    <w:pPr>
      <w:pStyle w:val="Footer"/>
      <w:rPr>
        <w:rFonts w:ascii="Arial Narrow" w:hAnsi="Arial Narrow"/>
      </w:rPr>
    </w:pPr>
    <w:r w:rsidRPr="00AB3B4B">
      <w:rPr>
        <w:rFonts w:ascii="Arial Narrow" w:hAnsi="Arial Narrow"/>
        <w:color w:val="808080" w:themeColor="background1" w:themeShade="80"/>
        <w:spacing w:val="60"/>
      </w:rPr>
      <w:t>Page</w:t>
    </w:r>
    <w:r w:rsidRPr="00AB3B4B">
      <w:rPr>
        <w:rFonts w:ascii="Arial Narrow" w:hAnsi="Arial Narrow"/>
      </w:rPr>
      <w:t xml:space="preserve"> | </w:t>
    </w:r>
    <w:r w:rsidRPr="00AB3B4B">
      <w:rPr>
        <w:rFonts w:ascii="Arial Narrow" w:hAnsi="Arial Narrow"/>
      </w:rPr>
      <w:fldChar w:fldCharType="begin"/>
    </w:r>
    <w:r w:rsidRPr="00AB3B4B">
      <w:rPr>
        <w:rFonts w:ascii="Arial Narrow" w:hAnsi="Arial Narrow"/>
      </w:rPr>
      <w:instrText xml:space="preserve"> PAGE   \* MERGEFORMAT </w:instrText>
    </w:r>
    <w:r w:rsidRPr="00AB3B4B">
      <w:rPr>
        <w:rFonts w:ascii="Arial Narrow" w:hAnsi="Arial Narrow"/>
      </w:rPr>
      <w:fldChar w:fldCharType="separate"/>
    </w:r>
    <w:r w:rsidR="00107FED" w:rsidRPr="00107FED">
      <w:rPr>
        <w:rFonts w:ascii="Arial Narrow" w:hAnsi="Arial Narrow"/>
        <w:b/>
        <w:bCs/>
        <w:noProof/>
      </w:rPr>
      <w:t>6</w:t>
    </w:r>
    <w:r w:rsidRPr="00AB3B4B">
      <w:rPr>
        <w:rFonts w:ascii="Arial Narrow" w:hAnsi="Arial Narrow"/>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A7" w:rsidRDefault="00C208A7" w:rsidP="001B57B0">
      <w:pPr>
        <w:spacing w:after="0" w:line="240" w:lineRule="auto"/>
      </w:pPr>
      <w:r>
        <w:separator/>
      </w:r>
    </w:p>
  </w:footnote>
  <w:footnote w:type="continuationSeparator" w:id="0">
    <w:p w:rsidR="00C208A7" w:rsidRDefault="00C208A7" w:rsidP="001B5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F05E"/>
    <w:multiLevelType w:val="hybridMultilevel"/>
    <w:tmpl w:val="48BC8B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601CC17"/>
    <w:multiLevelType w:val="hybridMultilevel"/>
    <w:tmpl w:val="992A9A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2FA2E8E"/>
    <w:multiLevelType w:val="hybridMultilevel"/>
    <w:tmpl w:val="A35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EC1DC8"/>
    <w:multiLevelType w:val="hybridMultilevel"/>
    <w:tmpl w:val="691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6F7A20"/>
    <w:multiLevelType w:val="hybridMultilevel"/>
    <w:tmpl w:val="F23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91"/>
    <w:rsid w:val="00091F2E"/>
    <w:rsid w:val="00107FED"/>
    <w:rsid w:val="001112FA"/>
    <w:rsid w:val="00123C26"/>
    <w:rsid w:val="001449AE"/>
    <w:rsid w:val="001850E6"/>
    <w:rsid w:val="001B57B0"/>
    <w:rsid w:val="001D603D"/>
    <w:rsid w:val="001E26D1"/>
    <w:rsid w:val="001F4C86"/>
    <w:rsid w:val="0022196E"/>
    <w:rsid w:val="00242B91"/>
    <w:rsid w:val="0028189D"/>
    <w:rsid w:val="00303078"/>
    <w:rsid w:val="00310995"/>
    <w:rsid w:val="00335527"/>
    <w:rsid w:val="00352BEA"/>
    <w:rsid w:val="00367EEC"/>
    <w:rsid w:val="003B65B3"/>
    <w:rsid w:val="003E3D21"/>
    <w:rsid w:val="003F0B83"/>
    <w:rsid w:val="00400433"/>
    <w:rsid w:val="00421618"/>
    <w:rsid w:val="00431067"/>
    <w:rsid w:val="0044063E"/>
    <w:rsid w:val="00472B76"/>
    <w:rsid w:val="00477989"/>
    <w:rsid w:val="00493D73"/>
    <w:rsid w:val="004A704F"/>
    <w:rsid w:val="004B33D4"/>
    <w:rsid w:val="004C5B27"/>
    <w:rsid w:val="00505892"/>
    <w:rsid w:val="00545F0A"/>
    <w:rsid w:val="0058430E"/>
    <w:rsid w:val="00645925"/>
    <w:rsid w:val="00653F22"/>
    <w:rsid w:val="006920F8"/>
    <w:rsid w:val="006A1034"/>
    <w:rsid w:val="006A5105"/>
    <w:rsid w:val="006C7C83"/>
    <w:rsid w:val="006D6CC9"/>
    <w:rsid w:val="006E4924"/>
    <w:rsid w:val="00701ECB"/>
    <w:rsid w:val="00715259"/>
    <w:rsid w:val="0076337E"/>
    <w:rsid w:val="007A0EC1"/>
    <w:rsid w:val="00803299"/>
    <w:rsid w:val="00804336"/>
    <w:rsid w:val="00845A9F"/>
    <w:rsid w:val="00856764"/>
    <w:rsid w:val="00864781"/>
    <w:rsid w:val="00880ECA"/>
    <w:rsid w:val="00906EAA"/>
    <w:rsid w:val="00974764"/>
    <w:rsid w:val="009A2EA4"/>
    <w:rsid w:val="009D1BDC"/>
    <w:rsid w:val="00AA5039"/>
    <w:rsid w:val="00AB3B4B"/>
    <w:rsid w:val="00AD3D8D"/>
    <w:rsid w:val="00AD3E8C"/>
    <w:rsid w:val="00AE2748"/>
    <w:rsid w:val="00B04E67"/>
    <w:rsid w:val="00B2494E"/>
    <w:rsid w:val="00BB07EB"/>
    <w:rsid w:val="00BF59CF"/>
    <w:rsid w:val="00C129C8"/>
    <w:rsid w:val="00C208A7"/>
    <w:rsid w:val="00C9692B"/>
    <w:rsid w:val="00CE10E5"/>
    <w:rsid w:val="00CE1271"/>
    <w:rsid w:val="00D12C6E"/>
    <w:rsid w:val="00D31E88"/>
    <w:rsid w:val="00D73F49"/>
    <w:rsid w:val="00DB223B"/>
    <w:rsid w:val="00DC352E"/>
    <w:rsid w:val="00DC5023"/>
    <w:rsid w:val="00DD5CE7"/>
    <w:rsid w:val="00E02E49"/>
    <w:rsid w:val="00E040D3"/>
    <w:rsid w:val="00E10B18"/>
    <w:rsid w:val="00E33EBF"/>
    <w:rsid w:val="00EB6ACF"/>
    <w:rsid w:val="00F15429"/>
    <w:rsid w:val="00F41221"/>
    <w:rsid w:val="00F4523D"/>
    <w:rsid w:val="00F554BD"/>
    <w:rsid w:val="00F67EE7"/>
    <w:rsid w:val="00F9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uiPriority w:val="1"/>
    <w:qFormat/>
    <w:rsid w:val="00AB3B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uiPriority w:val="1"/>
    <w:qFormat/>
    <w:rsid w:val="00AB3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9805">
      <w:bodyDiv w:val="1"/>
      <w:marLeft w:val="0"/>
      <w:marRight w:val="0"/>
      <w:marTop w:val="0"/>
      <w:marBottom w:val="0"/>
      <w:divBdr>
        <w:top w:val="none" w:sz="0" w:space="0" w:color="auto"/>
        <w:left w:val="none" w:sz="0" w:space="0" w:color="auto"/>
        <w:bottom w:val="none" w:sz="0" w:space="0" w:color="auto"/>
        <w:right w:val="none" w:sz="0" w:space="0" w:color="auto"/>
      </w:divBdr>
    </w:div>
    <w:div w:id="724181946">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551576216">
      <w:marLeft w:val="0"/>
      <w:marRight w:val="0"/>
      <w:marTop w:val="0"/>
      <w:marBottom w:val="0"/>
      <w:divBdr>
        <w:top w:val="none" w:sz="0" w:space="0" w:color="auto"/>
        <w:left w:val="none" w:sz="0" w:space="0" w:color="auto"/>
        <w:bottom w:val="none" w:sz="0" w:space="0" w:color="auto"/>
        <w:right w:val="none" w:sz="0" w:space="0" w:color="auto"/>
      </w:divBdr>
    </w:div>
    <w:div w:id="1551576217">
      <w:marLeft w:val="0"/>
      <w:marRight w:val="0"/>
      <w:marTop w:val="0"/>
      <w:marBottom w:val="0"/>
      <w:divBdr>
        <w:top w:val="none" w:sz="0" w:space="0" w:color="auto"/>
        <w:left w:val="none" w:sz="0" w:space="0" w:color="auto"/>
        <w:bottom w:val="none" w:sz="0" w:space="0" w:color="auto"/>
        <w:right w:val="none" w:sz="0" w:space="0" w:color="auto"/>
      </w:divBdr>
    </w:div>
    <w:div w:id="1551576218">
      <w:marLeft w:val="0"/>
      <w:marRight w:val="0"/>
      <w:marTop w:val="0"/>
      <w:marBottom w:val="0"/>
      <w:divBdr>
        <w:top w:val="none" w:sz="0" w:space="0" w:color="auto"/>
        <w:left w:val="none" w:sz="0" w:space="0" w:color="auto"/>
        <w:bottom w:val="none" w:sz="0" w:space="0" w:color="auto"/>
        <w:right w:val="none" w:sz="0" w:space="0" w:color="auto"/>
      </w:divBdr>
    </w:div>
    <w:div w:id="1551576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sr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111111111111111111111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ersr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81C7-4484-47E1-AD63-AF825E69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Karpinski, Frank</dc:creator>
  <cp:lastModifiedBy>HOYLE</cp:lastModifiedBy>
  <cp:revision>27</cp:revision>
  <cp:lastPrinted>2015-11-03T23:11:00Z</cp:lastPrinted>
  <dcterms:created xsi:type="dcterms:W3CDTF">2015-06-19T17:44:00Z</dcterms:created>
  <dcterms:modified xsi:type="dcterms:W3CDTF">2015-11-12T23:23:00Z</dcterms:modified>
</cp:coreProperties>
</file>