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29E" w:rsidRPr="006A1A6D" w:rsidRDefault="009C529E" w:rsidP="003C63FE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A720A7" w:rsidRPr="00D60D69" w:rsidRDefault="00A720A7" w:rsidP="00A720A7">
      <w:pPr>
        <w:spacing w:line="240" w:lineRule="auto"/>
        <w:rPr>
          <w:rFonts w:ascii="Arial" w:hAnsi="Arial" w:cs="Arial"/>
          <w:b/>
          <w:sz w:val="24"/>
        </w:rPr>
      </w:pPr>
      <w:r w:rsidRPr="00D60D69">
        <w:rPr>
          <w:rFonts w:ascii="Arial" w:hAnsi="Arial" w:cs="Arial"/>
          <w:b/>
          <w:sz w:val="24"/>
        </w:rPr>
        <w:t>Core Fixed Income</w:t>
      </w:r>
      <w:r w:rsidR="00A03EF9" w:rsidRPr="00D60D69">
        <w:rPr>
          <w:rFonts w:ascii="Arial" w:hAnsi="Arial" w:cs="Arial"/>
          <w:b/>
          <w:sz w:val="24"/>
        </w:rPr>
        <w:t xml:space="preserve"> </w:t>
      </w:r>
      <w:r w:rsidR="008A0ECA">
        <w:rPr>
          <w:rFonts w:ascii="Arial" w:hAnsi="Arial" w:cs="Arial"/>
          <w:b/>
          <w:sz w:val="24"/>
        </w:rPr>
        <w:t>Allocation</w:t>
      </w:r>
      <w:r w:rsidR="00C406A3" w:rsidRPr="00D60D69">
        <w:rPr>
          <w:rFonts w:ascii="Arial" w:hAnsi="Arial" w:cs="Arial"/>
          <w:b/>
          <w:sz w:val="24"/>
        </w:rPr>
        <w:tab/>
      </w:r>
      <w:r w:rsidR="00C406A3" w:rsidRPr="00D60D69">
        <w:rPr>
          <w:rFonts w:ascii="Arial" w:hAnsi="Arial" w:cs="Arial"/>
          <w:b/>
          <w:sz w:val="24"/>
        </w:rPr>
        <w:tab/>
      </w:r>
      <w:r w:rsidR="00C406A3" w:rsidRPr="00D60D69">
        <w:rPr>
          <w:rFonts w:ascii="Arial" w:hAnsi="Arial" w:cs="Arial"/>
          <w:b/>
          <w:sz w:val="24"/>
        </w:rPr>
        <w:tab/>
      </w:r>
      <w:r w:rsidR="00C406A3" w:rsidRPr="00D60D69">
        <w:rPr>
          <w:rFonts w:ascii="Arial" w:hAnsi="Arial" w:cs="Arial"/>
          <w:b/>
          <w:sz w:val="24"/>
        </w:rPr>
        <w:tab/>
      </w:r>
      <w:r w:rsidR="00C406A3" w:rsidRPr="00D60D69">
        <w:rPr>
          <w:rFonts w:ascii="Arial" w:hAnsi="Arial" w:cs="Arial"/>
          <w:b/>
          <w:sz w:val="32"/>
          <w:highlight w:val="yellow"/>
        </w:rPr>
        <w:t>DRAFT</w:t>
      </w:r>
      <w:r w:rsidR="00C406A3" w:rsidRPr="00D60D69">
        <w:rPr>
          <w:rFonts w:ascii="Arial" w:hAnsi="Arial" w:cs="Arial"/>
          <w:b/>
          <w:sz w:val="32"/>
        </w:rPr>
        <w:t xml:space="preserve"> </w:t>
      </w:r>
    </w:p>
    <w:p w:rsidR="00F56212" w:rsidRDefault="00FB02ED" w:rsidP="00B92155">
      <w:pPr>
        <w:spacing w:after="0"/>
        <w:rPr>
          <w:rFonts w:ascii="Arial" w:hAnsi="Arial" w:cs="Arial"/>
          <w:sz w:val="24"/>
        </w:rPr>
      </w:pPr>
      <w:r w:rsidRPr="006A1A6D">
        <w:rPr>
          <w:rFonts w:ascii="Arial" w:hAnsi="Arial" w:cs="Arial"/>
          <w:sz w:val="24"/>
        </w:rPr>
        <w:t xml:space="preserve">The </w:t>
      </w:r>
      <w:r w:rsidR="00F56212">
        <w:rPr>
          <w:rFonts w:ascii="Arial" w:hAnsi="Arial" w:cs="Arial"/>
          <w:sz w:val="24"/>
        </w:rPr>
        <w:t>purpose of the c</w:t>
      </w:r>
      <w:r w:rsidRPr="006A1A6D">
        <w:rPr>
          <w:rFonts w:ascii="Arial" w:hAnsi="Arial" w:cs="Arial"/>
          <w:sz w:val="24"/>
        </w:rPr>
        <w:t xml:space="preserve">ore </w:t>
      </w:r>
      <w:r w:rsidR="00F56212">
        <w:rPr>
          <w:rFonts w:ascii="Arial" w:hAnsi="Arial" w:cs="Arial"/>
          <w:sz w:val="24"/>
        </w:rPr>
        <w:t>f</w:t>
      </w:r>
      <w:r w:rsidRPr="006A1A6D">
        <w:rPr>
          <w:rFonts w:ascii="Arial" w:hAnsi="Arial" w:cs="Arial"/>
          <w:sz w:val="24"/>
        </w:rPr>
        <w:t xml:space="preserve">ixed </w:t>
      </w:r>
      <w:r w:rsidR="00F56212">
        <w:rPr>
          <w:rFonts w:ascii="Arial" w:hAnsi="Arial" w:cs="Arial"/>
          <w:sz w:val="24"/>
        </w:rPr>
        <w:t>i</w:t>
      </w:r>
      <w:r w:rsidRPr="006A1A6D">
        <w:rPr>
          <w:rFonts w:ascii="Arial" w:hAnsi="Arial" w:cs="Arial"/>
          <w:sz w:val="24"/>
        </w:rPr>
        <w:t xml:space="preserve">ncome </w:t>
      </w:r>
      <w:r w:rsidR="00F56212">
        <w:rPr>
          <w:rFonts w:ascii="Arial" w:hAnsi="Arial" w:cs="Arial"/>
          <w:sz w:val="24"/>
        </w:rPr>
        <w:t>allocation</w:t>
      </w:r>
      <w:r w:rsidR="00F56212" w:rsidRPr="006A1A6D">
        <w:rPr>
          <w:rFonts w:ascii="Arial" w:hAnsi="Arial" w:cs="Arial"/>
          <w:sz w:val="24"/>
        </w:rPr>
        <w:t xml:space="preserve"> </w:t>
      </w:r>
      <w:r w:rsidRPr="006A1A6D">
        <w:rPr>
          <w:rFonts w:ascii="Arial" w:hAnsi="Arial" w:cs="Arial"/>
          <w:sz w:val="24"/>
        </w:rPr>
        <w:t xml:space="preserve">is to provide </w:t>
      </w:r>
      <w:r w:rsidR="00F56212">
        <w:rPr>
          <w:rFonts w:ascii="Arial" w:hAnsi="Arial" w:cs="Arial"/>
          <w:sz w:val="24"/>
        </w:rPr>
        <w:t>downside protection in adverse market environment</w:t>
      </w:r>
      <w:r w:rsidR="00056BCF">
        <w:rPr>
          <w:rFonts w:ascii="Arial" w:hAnsi="Arial" w:cs="Arial"/>
          <w:sz w:val="24"/>
        </w:rPr>
        <w:t>s</w:t>
      </w:r>
      <w:r w:rsidR="00F56212">
        <w:rPr>
          <w:rFonts w:ascii="Arial" w:hAnsi="Arial" w:cs="Arial"/>
          <w:sz w:val="24"/>
        </w:rPr>
        <w:t xml:space="preserve">. It seeks to achieve this goal through </w:t>
      </w:r>
      <w:r w:rsidRPr="006A1A6D">
        <w:rPr>
          <w:rFonts w:ascii="Arial" w:hAnsi="Arial" w:cs="Arial"/>
          <w:sz w:val="24"/>
        </w:rPr>
        <w:t xml:space="preserve">broad exposure to </w:t>
      </w:r>
      <w:r w:rsidR="00F56212">
        <w:rPr>
          <w:rFonts w:ascii="Arial" w:hAnsi="Arial" w:cs="Arial"/>
          <w:sz w:val="24"/>
        </w:rPr>
        <w:t xml:space="preserve">U.S. </w:t>
      </w:r>
      <w:r w:rsidR="003847D0">
        <w:rPr>
          <w:rFonts w:ascii="Arial" w:hAnsi="Arial" w:cs="Arial"/>
          <w:sz w:val="24"/>
        </w:rPr>
        <w:t xml:space="preserve">investment grade </w:t>
      </w:r>
      <w:r w:rsidR="00F56212">
        <w:rPr>
          <w:rFonts w:ascii="Arial" w:hAnsi="Arial" w:cs="Arial"/>
          <w:sz w:val="24"/>
        </w:rPr>
        <w:t>f</w:t>
      </w:r>
      <w:r w:rsidRPr="006A1A6D">
        <w:rPr>
          <w:rFonts w:ascii="Arial" w:hAnsi="Arial" w:cs="Arial"/>
          <w:sz w:val="24"/>
        </w:rPr>
        <w:t xml:space="preserve">ixed </w:t>
      </w:r>
      <w:r w:rsidR="00F56212">
        <w:rPr>
          <w:rFonts w:ascii="Arial" w:hAnsi="Arial" w:cs="Arial"/>
          <w:sz w:val="24"/>
        </w:rPr>
        <w:t>i</w:t>
      </w:r>
      <w:r w:rsidRPr="006A1A6D">
        <w:rPr>
          <w:rFonts w:ascii="Arial" w:hAnsi="Arial" w:cs="Arial"/>
          <w:sz w:val="24"/>
        </w:rPr>
        <w:t>ncome s</w:t>
      </w:r>
      <w:r w:rsidR="008D27A1" w:rsidRPr="006A1A6D">
        <w:rPr>
          <w:rFonts w:ascii="Arial" w:hAnsi="Arial" w:cs="Arial"/>
          <w:sz w:val="24"/>
        </w:rPr>
        <w:t>ecurities</w:t>
      </w:r>
      <w:r w:rsidRPr="006A1A6D">
        <w:rPr>
          <w:rFonts w:ascii="Arial" w:hAnsi="Arial" w:cs="Arial"/>
          <w:sz w:val="24"/>
        </w:rPr>
        <w:t xml:space="preserve">. </w:t>
      </w:r>
      <w:r w:rsidR="00F56212">
        <w:rPr>
          <w:rFonts w:ascii="Arial" w:hAnsi="Arial" w:cs="Arial"/>
          <w:sz w:val="24"/>
        </w:rPr>
        <w:t xml:space="preserve">As the overall portfolio’s </w:t>
      </w:r>
      <w:r w:rsidR="00A90336" w:rsidRPr="006A1A6D">
        <w:rPr>
          <w:rFonts w:ascii="Arial" w:hAnsi="Arial" w:cs="Arial"/>
          <w:sz w:val="24"/>
        </w:rPr>
        <w:t>primary “risk off” asset</w:t>
      </w:r>
      <w:r w:rsidR="00F56212">
        <w:rPr>
          <w:rFonts w:ascii="Arial" w:hAnsi="Arial" w:cs="Arial"/>
          <w:sz w:val="24"/>
        </w:rPr>
        <w:t>,</w:t>
      </w:r>
      <w:r w:rsidR="003F6410" w:rsidRPr="006A1A6D">
        <w:rPr>
          <w:rFonts w:ascii="Arial" w:hAnsi="Arial" w:cs="Arial"/>
          <w:sz w:val="24"/>
        </w:rPr>
        <w:t xml:space="preserve"> </w:t>
      </w:r>
      <w:r w:rsidR="00F56212">
        <w:rPr>
          <w:rFonts w:ascii="Arial" w:hAnsi="Arial" w:cs="Arial"/>
          <w:sz w:val="24"/>
        </w:rPr>
        <w:t xml:space="preserve">strong </w:t>
      </w:r>
      <w:r w:rsidR="00112152" w:rsidRPr="006A1A6D">
        <w:rPr>
          <w:rFonts w:ascii="Arial" w:hAnsi="Arial" w:cs="Arial"/>
          <w:sz w:val="24"/>
        </w:rPr>
        <w:t>return</w:t>
      </w:r>
      <w:r w:rsidR="00F56212">
        <w:rPr>
          <w:rFonts w:ascii="Arial" w:hAnsi="Arial" w:cs="Arial"/>
          <w:sz w:val="24"/>
        </w:rPr>
        <w:t>s</w:t>
      </w:r>
      <w:r w:rsidR="00FE6552" w:rsidRPr="006A1A6D">
        <w:rPr>
          <w:rFonts w:ascii="Arial" w:hAnsi="Arial" w:cs="Arial"/>
          <w:sz w:val="24"/>
        </w:rPr>
        <w:t xml:space="preserve"> </w:t>
      </w:r>
      <w:r w:rsidR="003F6410" w:rsidRPr="006A1A6D">
        <w:rPr>
          <w:rFonts w:ascii="Arial" w:hAnsi="Arial" w:cs="Arial"/>
          <w:sz w:val="24"/>
        </w:rPr>
        <w:t xml:space="preserve">and </w:t>
      </w:r>
      <w:r w:rsidR="00F56212">
        <w:rPr>
          <w:rFonts w:ascii="Arial" w:hAnsi="Arial" w:cs="Arial"/>
          <w:sz w:val="24"/>
        </w:rPr>
        <w:t>outperformance</w:t>
      </w:r>
      <w:r w:rsidR="00A90336" w:rsidRPr="006A1A6D">
        <w:rPr>
          <w:rFonts w:ascii="Arial" w:hAnsi="Arial" w:cs="Arial"/>
          <w:sz w:val="24"/>
        </w:rPr>
        <w:t xml:space="preserve"> </w:t>
      </w:r>
      <w:r w:rsidR="003F6410" w:rsidRPr="006A1A6D">
        <w:rPr>
          <w:rFonts w:ascii="Arial" w:hAnsi="Arial" w:cs="Arial"/>
          <w:sz w:val="24"/>
        </w:rPr>
        <w:t>are</w:t>
      </w:r>
      <w:r w:rsidR="00A90336" w:rsidRPr="006A1A6D">
        <w:rPr>
          <w:rFonts w:ascii="Arial" w:hAnsi="Arial" w:cs="Arial"/>
          <w:sz w:val="24"/>
        </w:rPr>
        <w:t xml:space="preserve"> secondary consideration</w:t>
      </w:r>
      <w:r w:rsidR="003F6410" w:rsidRPr="006A1A6D">
        <w:rPr>
          <w:rFonts w:ascii="Arial" w:hAnsi="Arial" w:cs="Arial"/>
          <w:sz w:val="24"/>
        </w:rPr>
        <w:t>s</w:t>
      </w:r>
      <w:r w:rsidR="00A90336" w:rsidRPr="006A1A6D">
        <w:rPr>
          <w:rFonts w:ascii="Arial" w:hAnsi="Arial" w:cs="Arial"/>
          <w:sz w:val="24"/>
        </w:rPr>
        <w:t xml:space="preserve">. </w:t>
      </w:r>
      <w:r w:rsidR="00F56212">
        <w:rPr>
          <w:rFonts w:ascii="Arial" w:hAnsi="Arial" w:cs="Arial"/>
          <w:sz w:val="24"/>
        </w:rPr>
        <w:t>The allocation accepts lower expected returns in exchange for more consistent cash flows and generally more stable valuations.</w:t>
      </w:r>
      <w:r w:rsidR="00A90336" w:rsidRPr="006A1A6D">
        <w:rPr>
          <w:rFonts w:ascii="Arial" w:hAnsi="Arial" w:cs="Arial"/>
          <w:sz w:val="24"/>
        </w:rPr>
        <w:t xml:space="preserve"> </w:t>
      </w:r>
      <w:r w:rsidR="00FE6552" w:rsidRPr="006A1A6D">
        <w:rPr>
          <w:rFonts w:ascii="Arial" w:hAnsi="Arial" w:cs="Arial"/>
          <w:sz w:val="24"/>
        </w:rPr>
        <w:t xml:space="preserve"> </w:t>
      </w:r>
    </w:p>
    <w:p w:rsidR="00F56212" w:rsidRDefault="00F56212" w:rsidP="00B92155">
      <w:pPr>
        <w:spacing w:after="0"/>
        <w:rPr>
          <w:rFonts w:ascii="Arial" w:hAnsi="Arial" w:cs="Arial"/>
          <w:sz w:val="24"/>
        </w:rPr>
      </w:pPr>
    </w:p>
    <w:p w:rsidR="00F56212" w:rsidRDefault="00FE6552">
      <w:pPr>
        <w:spacing w:after="0"/>
        <w:rPr>
          <w:rFonts w:ascii="Arial" w:hAnsi="Arial" w:cs="Arial"/>
          <w:sz w:val="24"/>
        </w:rPr>
      </w:pPr>
      <w:r w:rsidRPr="006A1A6D">
        <w:rPr>
          <w:rFonts w:ascii="Arial" w:hAnsi="Arial" w:cs="Arial"/>
          <w:sz w:val="24"/>
        </w:rPr>
        <w:t xml:space="preserve">Given the </w:t>
      </w:r>
      <w:r w:rsidR="00F56212">
        <w:rPr>
          <w:rFonts w:ascii="Arial" w:hAnsi="Arial" w:cs="Arial"/>
          <w:sz w:val="24"/>
        </w:rPr>
        <w:t>structure of</w:t>
      </w:r>
      <w:r w:rsidRPr="006A1A6D">
        <w:rPr>
          <w:rFonts w:ascii="Arial" w:hAnsi="Arial" w:cs="Arial"/>
          <w:sz w:val="24"/>
        </w:rPr>
        <w:t xml:space="preserve"> </w:t>
      </w:r>
      <w:r w:rsidR="003F6410" w:rsidRPr="006A1A6D">
        <w:rPr>
          <w:rFonts w:ascii="Arial" w:hAnsi="Arial" w:cs="Arial"/>
          <w:sz w:val="24"/>
        </w:rPr>
        <w:t>the investment grade bond market</w:t>
      </w:r>
      <w:r w:rsidR="008050E7" w:rsidRPr="006A1A6D">
        <w:rPr>
          <w:rFonts w:ascii="Arial" w:hAnsi="Arial" w:cs="Arial"/>
          <w:sz w:val="24"/>
        </w:rPr>
        <w:t xml:space="preserve">, </w:t>
      </w:r>
      <w:r w:rsidR="003F6410" w:rsidRPr="006A1A6D">
        <w:rPr>
          <w:rFonts w:ascii="Arial" w:hAnsi="Arial" w:cs="Arial"/>
          <w:sz w:val="24"/>
        </w:rPr>
        <w:t>the</w:t>
      </w:r>
      <w:r w:rsidR="008050E7" w:rsidRPr="006A1A6D">
        <w:rPr>
          <w:rFonts w:ascii="Arial" w:hAnsi="Arial" w:cs="Arial"/>
          <w:sz w:val="24"/>
        </w:rPr>
        <w:t xml:space="preserve"> </w:t>
      </w:r>
      <w:r w:rsidR="00F56212">
        <w:rPr>
          <w:rFonts w:ascii="Arial" w:hAnsi="Arial" w:cs="Arial"/>
          <w:sz w:val="24"/>
        </w:rPr>
        <w:t>allocation is</w:t>
      </w:r>
      <w:r w:rsidR="008050E7" w:rsidRPr="006A1A6D">
        <w:rPr>
          <w:rFonts w:ascii="Arial" w:hAnsi="Arial" w:cs="Arial"/>
          <w:sz w:val="24"/>
        </w:rPr>
        <w:t xml:space="preserve"> actively managed</w:t>
      </w:r>
      <w:r w:rsidR="00056BCF">
        <w:rPr>
          <w:rFonts w:ascii="Arial" w:hAnsi="Arial" w:cs="Arial"/>
          <w:sz w:val="24"/>
        </w:rPr>
        <w:t>. Managers are given</w:t>
      </w:r>
      <w:r w:rsidR="008050E7" w:rsidRPr="006A1A6D">
        <w:rPr>
          <w:rFonts w:ascii="Arial" w:hAnsi="Arial" w:cs="Arial"/>
          <w:sz w:val="24"/>
        </w:rPr>
        <w:t xml:space="preserve"> tight guideline</w:t>
      </w:r>
      <w:r w:rsidR="00FF40BA" w:rsidRPr="006A1A6D">
        <w:rPr>
          <w:rFonts w:ascii="Arial" w:hAnsi="Arial" w:cs="Arial"/>
          <w:sz w:val="24"/>
        </w:rPr>
        <w:t>s</w:t>
      </w:r>
      <w:r w:rsidR="00F56212">
        <w:rPr>
          <w:rFonts w:ascii="Arial" w:hAnsi="Arial" w:cs="Arial"/>
          <w:sz w:val="24"/>
        </w:rPr>
        <w:t xml:space="preserve"> to ensure </w:t>
      </w:r>
      <w:r w:rsidR="00056BCF">
        <w:rPr>
          <w:rFonts w:ascii="Arial" w:hAnsi="Arial" w:cs="Arial"/>
          <w:sz w:val="24"/>
        </w:rPr>
        <w:t>the allocation</w:t>
      </w:r>
      <w:r w:rsidR="00F56212">
        <w:rPr>
          <w:rFonts w:ascii="Arial" w:hAnsi="Arial" w:cs="Arial"/>
          <w:sz w:val="24"/>
        </w:rPr>
        <w:t xml:space="preserve"> hews closely to the expected goal of providing safety</w:t>
      </w:r>
      <w:r w:rsidRPr="006A1A6D">
        <w:rPr>
          <w:rFonts w:ascii="Arial" w:hAnsi="Arial" w:cs="Arial"/>
          <w:sz w:val="24"/>
        </w:rPr>
        <w:t>.</w:t>
      </w:r>
    </w:p>
    <w:p w:rsidR="00A720A7" w:rsidRPr="006A1A6D" w:rsidRDefault="00F56212">
      <w:pPr>
        <w:spacing w:after="0"/>
        <w:rPr>
          <w:rFonts w:ascii="Arial" w:hAnsi="Arial" w:cs="Arial"/>
          <w:sz w:val="24"/>
        </w:rPr>
      </w:pPr>
      <w:r w:rsidRPr="006A1A6D" w:rsidDel="00F56212">
        <w:rPr>
          <w:rFonts w:ascii="Arial" w:hAnsi="Arial" w:cs="Arial"/>
          <w:sz w:val="24"/>
        </w:rPr>
        <w:t xml:space="preserve"> </w:t>
      </w:r>
    </w:p>
    <w:p w:rsidR="00A90336" w:rsidRPr="006A1A6D" w:rsidRDefault="00A90336" w:rsidP="00B92155">
      <w:pPr>
        <w:spacing w:after="0"/>
        <w:rPr>
          <w:rFonts w:ascii="Arial" w:hAnsi="Arial" w:cs="Arial"/>
          <w:sz w:val="24"/>
        </w:rPr>
      </w:pPr>
      <w:r w:rsidRPr="006A1A6D">
        <w:rPr>
          <w:rFonts w:ascii="Arial" w:hAnsi="Arial" w:cs="Arial"/>
          <w:sz w:val="24"/>
        </w:rPr>
        <w:t xml:space="preserve">The Barclays Aggregate </w:t>
      </w:r>
      <w:r w:rsidR="00FF40BA" w:rsidRPr="006A1A6D">
        <w:rPr>
          <w:rFonts w:ascii="Arial" w:hAnsi="Arial" w:cs="Arial"/>
          <w:sz w:val="24"/>
        </w:rPr>
        <w:t>Index</w:t>
      </w:r>
      <w:r w:rsidR="00FB02ED" w:rsidRPr="006A1A6D">
        <w:rPr>
          <w:rFonts w:ascii="Arial" w:hAnsi="Arial" w:cs="Arial"/>
          <w:sz w:val="24"/>
        </w:rPr>
        <w:t xml:space="preserve"> is the </w:t>
      </w:r>
      <w:r w:rsidR="00F56212">
        <w:rPr>
          <w:rFonts w:ascii="Arial" w:hAnsi="Arial" w:cs="Arial"/>
          <w:sz w:val="24"/>
        </w:rPr>
        <w:t>benchmark for the c</w:t>
      </w:r>
      <w:r w:rsidR="00FB02ED" w:rsidRPr="006A1A6D">
        <w:rPr>
          <w:rFonts w:ascii="Arial" w:hAnsi="Arial" w:cs="Arial"/>
          <w:sz w:val="24"/>
        </w:rPr>
        <w:t xml:space="preserve">ore </w:t>
      </w:r>
      <w:r w:rsidR="00F56212">
        <w:rPr>
          <w:rFonts w:ascii="Arial" w:hAnsi="Arial" w:cs="Arial"/>
          <w:sz w:val="24"/>
        </w:rPr>
        <w:t>f</w:t>
      </w:r>
      <w:r w:rsidR="00FB02ED" w:rsidRPr="006A1A6D">
        <w:rPr>
          <w:rFonts w:ascii="Arial" w:hAnsi="Arial" w:cs="Arial"/>
          <w:sz w:val="24"/>
        </w:rPr>
        <w:t xml:space="preserve">ixed </w:t>
      </w:r>
      <w:r w:rsidR="00F56212">
        <w:rPr>
          <w:rFonts w:ascii="Arial" w:hAnsi="Arial" w:cs="Arial"/>
          <w:sz w:val="24"/>
        </w:rPr>
        <w:t>i</w:t>
      </w:r>
      <w:r w:rsidR="00FB02ED" w:rsidRPr="006A1A6D">
        <w:rPr>
          <w:rFonts w:ascii="Arial" w:hAnsi="Arial" w:cs="Arial"/>
          <w:sz w:val="24"/>
        </w:rPr>
        <w:t xml:space="preserve">ncome </w:t>
      </w:r>
      <w:r w:rsidR="00F56212">
        <w:rPr>
          <w:rFonts w:ascii="Arial" w:hAnsi="Arial" w:cs="Arial"/>
          <w:sz w:val="24"/>
        </w:rPr>
        <w:t>allocation</w:t>
      </w:r>
      <w:r w:rsidR="00FB02ED" w:rsidRPr="006A1A6D">
        <w:rPr>
          <w:rFonts w:ascii="Arial" w:hAnsi="Arial" w:cs="Arial"/>
          <w:sz w:val="24"/>
        </w:rPr>
        <w:t>.  The Aggregate index</w:t>
      </w:r>
      <w:r w:rsidR="00FF40BA" w:rsidRPr="006A1A6D">
        <w:rPr>
          <w:rFonts w:ascii="Arial" w:hAnsi="Arial" w:cs="Arial"/>
          <w:sz w:val="24"/>
        </w:rPr>
        <w:t xml:space="preserve"> </w:t>
      </w:r>
      <w:r w:rsidRPr="006A1A6D">
        <w:rPr>
          <w:rFonts w:ascii="Arial" w:hAnsi="Arial" w:cs="Arial"/>
          <w:sz w:val="24"/>
        </w:rPr>
        <w:t>parallels the investment-grade bond universe</w:t>
      </w:r>
      <w:r w:rsidR="003847D0">
        <w:rPr>
          <w:rFonts w:ascii="Arial" w:hAnsi="Arial" w:cs="Arial"/>
          <w:sz w:val="24"/>
        </w:rPr>
        <w:t xml:space="preserve"> (bonds rated BBB- or higher)</w:t>
      </w:r>
      <w:r w:rsidRPr="006A1A6D">
        <w:rPr>
          <w:rFonts w:ascii="Arial" w:hAnsi="Arial" w:cs="Arial"/>
          <w:sz w:val="24"/>
        </w:rPr>
        <w:t xml:space="preserve">, with roughly eighty percent  of its weight in US Treasuries and US-backed agency (Fannie Mae, Freddie Mac, etc.) securities. Backed by the US government, these bonds are generally the most stable among fixed income securities. The </w:t>
      </w:r>
      <w:r w:rsidR="00F56212">
        <w:rPr>
          <w:rFonts w:ascii="Arial" w:hAnsi="Arial" w:cs="Arial"/>
          <w:sz w:val="24"/>
        </w:rPr>
        <w:t>rest</w:t>
      </w:r>
      <w:r w:rsidR="00F56212" w:rsidRPr="006A1A6D">
        <w:rPr>
          <w:rFonts w:ascii="Arial" w:hAnsi="Arial" w:cs="Arial"/>
          <w:sz w:val="24"/>
        </w:rPr>
        <w:t xml:space="preserve"> </w:t>
      </w:r>
      <w:r w:rsidRPr="006A1A6D">
        <w:rPr>
          <w:rFonts w:ascii="Arial" w:hAnsi="Arial" w:cs="Arial"/>
          <w:sz w:val="24"/>
        </w:rPr>
        <w:t xml:space="preserve">of the index </w:t>
      </w:r>
      <w:r w:rsidR="00F56212">
        <w:rPr>
          <w:rFonts w:ascii="Arial" w:hAnsi="Arial" w:cs="Arial"/>
          <w:sz w:val="24"/>
        </w:rPr>
        <w:t>consists</w:t>
      </w:r>
      <w:r w:rsidRPr="006A1A6D">
        <w:rPr>
          <w:rFonts w:ascii="Arial" w:hAnsi="Arial" w:cs="Arial"/>
          <w:sz w:val="24"/>
        </w:rPr>
        <w:t xml:space="preserve"> primarily of corporate bonds and asset-backed securities. </w:t>
      </w:r>
    </w:p>
    <w:p w:rsidR="00A720A7" w:rsidRPr="006A1A6D" w:rsidRDefault="00A720A7" w:rsidP="00B92155">
      <w:pPr>
        <w:spacing w:after="0"/>
        <w:rPr>
          <w:rFonts w:ascii="Arial" w:hAnsi="Arial" w:cs="Arial"/>
          <w:sz w:val="24"/>
        </w:rPr>
      </w:pPr>
    </w:p>
    <w:p w:rsidR="007F354A" w:rsidRPr="00ED3D95" w:rsidRDefault="00BA58F1" w:rsidP="00B92155">
      <w:pPr>
        <w:spacing w:after="0"/>
        <w:rPr>
          <w:rFonts w:ascii="Arial" w:hAnsi="Arial" w:cs="Arial"/>
          <w:i/>
          <w:sz w:val="24"/>
        </w:rPr>
      </w:pPr>
      <w:r w:rsidRPr="00ED3D95">
        <w:rPr>
          <w:rFonts w:ascii="Arial" w:hAnsi="Arial" w:cs="Arial"/>
          <w:i/>
          <w:sz w:val="24"/>
        </w:rPr>
        <w:t xml:space="preserve">SIC </w:t>
      </w:r>
      <w:r w:rsidR="007F354A" w:rsidRPr="00ED3D95">
        <w:rPr>
          <w:rFonts w:ascii="Arial" w:hAnsi="Arial" w:cs="Arial"/>
          <w:i/>
          <w:sz w:val="24"/>
        </w:rPr>
        <w:t>Investment Philosophy</w:t>
      </w:r>
      <w:r w:rsidR="004F3366" w:rsidRPr="00ED3D95">
        <w:rPr>
          <w:rFonts w:ascii="Arial" w:hAnsi="Arial" w:cs="Arial"/>
          <w:i/>
          <w:sz w:val="24"/>
        </w:rPr>
        <w:t xml:space="preserve"> - </w:t>
      </w:r>
      <w:r w:rsidR="007F354A" w:rsidRPr="00ED3D95">
        <w:rPr>
          <w:rFonts w:ascii="Arial" w:hAnsi="Arial" w:cs="Arial"/>
          <w:i/>
          <w:sz w:val="24"/>
        </w:rPr>
        <w:t>Core Fixed Income</w:t>
      </w:r>
      <w:r w:rsidR="00805A6C" w:rsidRPr="00ED3D95">
        <w:rPr>
          <w:rFonts w:ascii="Arial" w:hAnsi="Arial" w:cs="Arial"/>
          <w:i/>
          <w:sz w:val="24"/>
        </w:rPr>
        <w:t>:</w:t>
      </w:r>
    </w:p>
    <w:p w:rsidR="00805A6C" w:rsidRPr="006A1A6D" w:rsidRDefault="00805A6C" w:rsidP="00B92155">
      <w:pPr>
        <w:spacing w:after="0"/>
        <w:rPr>
          <w:rFonts w:ascii="Arial" w:hAnsi="Arial" w:cs="Arial"/>
          <w:sz w:val="24"/>
        </w:rPr>
      </w:pPr>
    </w:p>
    <w:p w:rsidR="007F354A" w:rsidRPr="006A1A6D" w:rsidRDefault="00BA58F1" w:rsidP="00B92155">
      <w:pPr>
        <w:numPr>
          <w:ilvl w:val="0"/>
          <w:numId w:val="1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SIC</w:t>
      </w:r>
      <w:r w:rsidRPr="006A1A6D">
        <w:rPr>
          <w:rFonts w:ascii="Arial" w:hAnsi="Arial" w:cs="Arial"/>
          <w:sz w:val="24"/>
        </w:rPr>
        <w:t xml:space="preserve"> </w:t>
      </w:r>
      <w:r w:rsidR="007F354A" w:rsidRPr="006A1A6D">
        <w:rPr>
          <w:rFonts w:ascii="Arial" w:hAnsi="Arial" w:cs="Arial"/>
          <w:sz w:val="24"/>
        </w:rPr>
        <w:t xml:space="preserve">is a long-term investor in </w:t>
      </w:r>
      <w:r w:rsidR="00F56212">
        <w:rPr>
          <w:rFonts w:ascii="Arial" w:hAnsi="Arial" w:cs="Arial"/>
          <w:sz w:val="24"/>
        </w:rPr>
        <w:t>core</w:t>
      </w:r>
      <w:r w:rsidR="007F354A" w:rsidRPr="006A1A6D">
        <w:rPr>
          <w:rFonts w:ascii="Arial" w:hAnsi="Arial" w:cs="Arial"/>
          <w:sz w:val="24"/>
        </w:rPr>
        <w:t xml:space="preserve"> </w:t>
      </w:r>
      <w:r w:rsidR="00F56212">
        <w:rPr>
          <w:rFonts w:ascii="Arial" w:hAnsi="Arial" w:cs="Arial"/>
          <w:sz w:val="24"/>
        </w:rPr>
        <w:t>f</w:t>
      </w:r>
      <w:r w:rsidR="007F354A" w:rsidRPr="006A1A6D">
        <w:rPr>
          <w:rFonts w:ascii="Arial" w:hAnsi="Arial" w:cs="Arial"/>
          <w:sz w:val="24"/>
        </w:rPr>
        <w:t xml:space="preserve">ixed </w:t>
      </w:r>
      <w:r w:rsidR="00F56212">
        <w:rPr>
          <w:rFonts w:ascii="Arial" w:hAnsi="Arial" w:cs="Arial"/>
          <w:sz w:val="24"/>
        </w:rPr>
        <w:t>i</w:t>
      </w:r>
      <w:r w:rsidR="007F354A" w:rsidRPr="006A1A6D">
        <w:rPr>
          <w:rFonts w:ascii="Arial" w:hAnsi="Arial" w:cs="Arial"/>
          <w:sz w:val="24"/>
        </w:rPr>
        <w:t>ncome securities</w:t>
      </w:r>
      <w:r w:rsidR="001D38B8">
        <w:rPr>
          <w:rFonts w:ascii="Arial" w:hAnsi="Arial" w:cs="Arial"/>
          <w:sz w:val="24"/>
        </w:rPr>
        <w:t xml:space="preserve">, expecting a modest but positive </w:t>
      </w:r>
      <w:r w:rsidR="005F1D3B">
        <w:rPr>
          <w:rFonts w:ascii="Arial" w:hAnsi="Arial" w:cs="Arial"/>
          <w:sz w:val="24"/>
        </w:rPr>
        <w:t xml:space="preserve">nominal </w:t>
      </w:r>
      <w:r w:rsidR="001D38B8">
        <w:rPr>
          <w:rFonts w:ascii="Arial" w:hAnsi="Arial" w:cs="Arial"/>
          <w:sz w:val="24"/>
        </w:rPr>
        <w:t>return over a full market cycle</w:t>
      </w:r>
      <w:r w:rsidR="007F354A" w:rsidRPr="006A1A6D">
        <w:rPr>
          <w:rFonts w:ascii="Arial" w:hAnsi="Arial" w:cs="Arial"/>
          <w:sz w:val="24"/>
        </w:rPr>
        <w:t xml:space="preserve">.    </w:t>
      </w:r>
    </w:p>
    <w:p w:rsidR="00A90336" w:rsidRPr="006A1A6D" w:rsidRDefault="00A90336" w:rsidP="00B92155">
      <w:pPr>
        <w:spacing w:after="0"/>
        <w:ind w:left="360"/>
        <w:rPr>
          <w:rFonts w:ascii="Arial" w:hAnsi="Arial" w:cs="Arial"/>
          <w:sz w:val="24"/>
        </w:rPr>
      </w:pPr>
    </w:p>
    <w:p w:rsidR="007F354A" w:rsidRPr="006A1A6D" w:rsidRDefault="007F354A" w:rsidP="00B92155">
      <w:pPr>
        <w:numPr>
          <w:ilvl w:val="0"/>
          <w:numId w:val="1"/>
        </w:numPr>
        <w:spacing w:after="0"/>
        <w:rPr>
          <w:rFonts w:ascii="Arial" w:hAnsi="Arial" w:cs="Arial"/>
          <w:sz w:val="24"/>
        </w:rPr>
      </w:pPr>
      <w:r w:rsidRPr="006A1A6D">
        <w:rPr>
          <w:rFonts w:ascii="Arial" w:hAnsi="Arial" w:cs="Arial"/>
          <w:sz w:val="24"/>
        </w:rPr>
        <w:t xml:space="preserve">Core </w:t>
      </w:r>
      <w:r w:rsidR="00F56212">
        <w:rPr>
          <w:rFonts w:ascii="Arial" w:hAnsi="Arial" w:cs="Arial"/>
          <w:sz w:val="24"/>
        </w:rPr>
        <w:t>f</w:t>
      </w:r>
      <w:r w:rsidRPr="006A1A6D">
        <w:rPr>
          <w:rFonts w:ascii="Arial" w:hAnsi="Arial" w:cs="Arial"/>
          <w:sz w:val="24"/>
        </w:rPr>
        <w:t xml:space="preserve">ixed </w:t>
      </w:r>
      <w:r w:rsidR="00F56212">
        <w:rPr>
          <w:rFonts w:ascii="Arial" w:hAnsi="Arial" w:cs="Arial"/>
          <w:sz w:val="24"/>
        </w:rPr>
        <w:t>i</w:t>
      </w:r>
      <w:r w:rsidRPr="006A1A6D">
        <w:rPr>
          <w:rFonts w:ascii="Arial" w:hAnsi="Arial" w:cs="Arial"/>
          <w:sz w:val="24"/>
        </w:rPr>
        <w:t xml:space="preserve">ncome plays </w:t>
      </w:r>
      <w:r w:rsidR="00F56212">
        <w:rPr>
          <w:rFonts w:ascii="Arial" w:hAnsi="Arial" w:cs="Arial"/>
          <w:sz w:val="24"/>
        </w:rPr>
        <w:t>the following</w:t>
      </w:r>
      <w:r w:rsidR="00F56212" w:rsidRPr="006A1A6D">
        <w:rPr>
          <w:rFonts w:ascii="Arial" w:hAnsi="Arial" w:cs="Arial"/>
          <w:sz w:val="24"/>
        </w:rPr>
        <w:t xml:space="preserve"> </w:t>
      </w:r>
      <w:r w:rsidRPr="006A1A6D">
        <w:rPr>
          <w:rFonts w:ascii="Arial" w:hAnsi="Arial" w:cs="Arial"/>
          <w:sz w:val="24"/>
        </w:rPr>
        <w:t xml:space="preserve">roles </w:t>
      </w:r>
      <w:r w:rsidR="00F56212">
        <w:rPr>
          <w:rFonts w:ascii="Arial" w:hAnsi="Arial" w:cs="Arial"/>
          <w:sz w:val="24"/>
        </w:rPr>
        <w:t>for</w:t>
      </w:r>
      <w:r w:rsidRPr="006A1A6D">
        <w:rPr>
          <w:rFonts w:ascii="Arial" w:hAnsi="Arial" w:cs="Arial"/>
          <w:sz w:val="24"/>
        </w:rPr>
        <w:t xml:space="preserve"> the total portfolio</w:t>
      </w:r>
      <w:r w:rsidR="00F56212">
        <w:rPr>
          <w:rFonts w:ascii="Arial" w:hAnsi="Arial" w:cs="Arial"/>
          <w:sz w:val="24"/>
        </w:rPr>
        <w:t>:</w:t>
      </w:r>
    </w:p>
    <w:p w:rsidR="007F354A" w:rsidRPr="006A1A6D" w:rsidRDefault="007F354A" w:rsidP="00B92155">
      <w:pPr>
        <w:numPr>
          <w:ilvl w:val="1"/>
          <w:numId w:val="1"/>
        </w:numPr>
        <w:spacing w:after="0"/>
        <w:rPr>
          <w:rFonts w:ascii="Arial" w:hAnsi="Arial" w:cs="Arial"/>
          <w:sz w:val="24"/>
        </w:rPr>
      </w:pPr>
      <w:r w:rsidRPr="006A1A6D">
        <w:rPr>
          <w:rFonts w:ascii="Arial" w:hAnsi="Arial" w:cs="Arial"/>
          <w:sz w:val="24"/>
        </w:rPr>
        <w:t xml:space="preserve">Diversification </w:t>
      </w:r>
      <w:r w:rsidR="003F6410" w:rsidRPr="006A1A6D">
        <w:rPr>
          <w:rFonts w:ascii="Arial" w:hAnsi="Arial" w:cs="Arial"/>
          <w:sz w:val="24"/>
        </w:rPr>
        <w:t>of growth risk</w:t>
      </w:r>
      <w:r w:rsidR="00F56212">
        <w:rPr>
          <w:rFonts w:ascii="Arial" w:hAnsi="Arial" w:cs="Arial"/>
          <w:sz w:val="24"/>
        </w:rPr>
        <w:t>s</w:t>
      </w:r>
    </w:p>
    <w:p w:rsidR="00056BCF" w:rsidRPr="00056BCF" w:rsidRDefault="00FB02ED">
      <w:pPr>
        <w:numPr>
          <w:ilvl w:val="1"/>
          <w:numId w:val="1"/>
        </w:numPr>
        <w:spacing w:after="0"/>
        <w:rPr>
          <w:rFonts w:ascii="Arial" w:hAnsi="Arial" w:cs="Arial"/>
          <w:sz w:val="24"/>
        </w:rPr>
      </w:pPr>
      <w:r w:rsidRPr="006A1A6D">
        <w:rPr>
          <w:rFonts w:ascii="Arial" w:hAnsi="Arial" w:cs="Arial"/>
          <w:sz w:val="24"/>
        </w:rPr>
        <w:t xml:space="preserve">Capital preservation </w:t>
      </w:r>
      <w:r w:rsidR="00056BCF">
        <w:rPr>
          <w:rFonts w:ascii="Arial" w:hAnsi="Arial" w:cs="Arial"/>
          <w:sz w:val="24"/>
        </w:rPr>
        <w:t>/ low expected volatility</w:t>
      </w:r>
    </w:p>
    <w:p w:rsidR="00056BCF" w:rsidRPr="001D38B8" w:rsidRDefault="007F354A">
      <w:pPr>
        <w:numPr>
          <w:ilvl w:val="1"/>
          <w:numId w:val="1"/>
        </w:numPr>
        <w:spacing w:after="0"/>
        <w:rPr>
          <w:rFonts w:ascii="Arial" w:hAnsi="Arial" w:cs="Arial"/>
          <w:sz w:val="24"/>
        </w:rPr>
      </w:pPr>
      <w:r w:rsidRPr="006A1A6D">
        <w:rPr>
          <w:rFonts w:ascii="Arial" w:hAnsi="Arial" w:cs="Arial"/>
          <w:sz w:val="24"/>
        </w:rPr>
        <w:t xml:space="preserve">Liquidity  </w:t>
      </w:r>
    </w:p>
    <w:p w:rsidR="007F354A" w:rsidRPr="006A1A6D" w:rsidRDefault="007F354A" w:rsidP="00ED3D95">
      <w:pPr>
        <w:rPr>
          <w:rFonts w:eastAsiaTheme="minorHAnsi"/>
        </w:rPr>
      </w:pPr>
    </w:p>
    <w:p w:rsidR="007F354A" w:rsidRPr="006A1A6D" w:rsidRDefault="00BA58F1" w:rsidP="00B92155">
      <w:pPr>
        <w:numPr>
          <w:ilvl w:val="0"/>
          <w:numId w:val="1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The allocation is actively managed due to the structure of the U.S. investment grade fixed income market. </w:t>
      </w:r>
      <w:r w:rsidR="00F56212">
        <w:rPr>
          <w:rFonts w:ascii="Arial" w:hAnsi="Arial" w:cs="Arial"/>
          <w:sz w:val="24"/>
        </w:rPr>
        <w:t>Core fixed income m</w:t>
      </w:r>
      <w:r w:rsidR="00FE6552" w:rsidRPr="006A1A6D">
        <w:rPr>
          <w:rFonts w:ascii="Arial" w:hAnsi="Arial" w:cs="Arial"/>
          <w:sz w:val="24"/>
        </w:rPr>
        <w:t xml:space="preserve">anagers </w:t>
      </w:r>
      <w:r w:rsidR="00FF40BA" w:rsidRPr="006A1A6D">
        <w:rPr>
          <w:rFonts w:ascii="Arial" w:hAnsi="Arial" w:cs="Arial"/>
          <w:sz w:val="24"/>
        </w:rPr>
        <w:t>may</w:t>
      </w:r>
      <w:r w:rsidR="00FE6552" w:rsidRPr="006A1A6D">
        <w:rPr>
          <w:rFonts w:ascii="Arial" w:hAnsi="Arial" w:cs="Arial"/>
          <w:sz w:val="24"/>
        </w:rPr>
        <w:t xml:space="preserve"> take modest </w:t>
      </w:r>
      <w:r>
        <w:rPr>
          <w:rFonts w:ascii="Arial" w:hAnsi="Arial" w:cs="Arial"/>
          <w:sz w:val="24"/>
        </w:rPr>
        <w:t xml:space="preserve">risks in duration, pre-payment and </w:t>
      </w:r>
      <w:r w:rsidR="00FE6552" w:rsidRPr="006A1A6D">
        <w:rPr>
          <w:rFonts w:ascii="Arial" w:hAnsi="Arial" w:cs="Arial"/>
          <w:sz w:val="24"/>
        </w:rPr>
        <w:t>credit</w:t>
      </w:r>
      <w:r w:rsidR="007F354A" w:rsidRPr="006A1A6D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>The SIC expects managers to be adequately compensated for assuming these risks and the attendant volatility.</w:t>
      </w:r>
    </w:p>
    <w:p w:rsidR="007F354A" w:rsidRPr="006A1A6D" w:rsidRDefault="007F354A" w:rsidP="00B92155">
      <w:pPr>
        <w:pStyle w:val="ListParagraph"/>
        <w:spacing w:line="276" w:lineRule="auto"/>
        <w:rPr>
          <w:rFonts w:ascii="Arial" w:eastAsiaTheme="minorHAnsi" w:hAnsi="Arial" w:cs="Arial"/>
          <w:sz w:val="24"/>
          <w:szCs w:val="22"/>
        </w:rPr>
      </w:pPr>
    </w:p>
    <w:p w:rsidR="008D27A1" w:rsidRPr="006A1A6D" w:rsidRDefault="008D27A1" w:rsidP="00B92155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</w:rPr>
      </w:pPr>
      <w:r w:rsidRPr="006A1A6D">
        <w:rPr>
          <w:rFonts w:ascii="Arial" w:hAnsi="Arial" w:cs="Arial"/>
          <w:sz w:val="24"/>
        </w:rPr>
        <w:t xml:space="preserve">To </w:t>
      </w:r>
      <w:r w:rsidR="00AA42F8" w:rsidRPr="006A1A6D">
        <w:rPr>
          <w:rFonts w:ascii="Arial" w:hAnsi="Arial" w:cs="Arial"/>
          <w:sz w:val="24"/>
        </w:rPr>
        <w:t xml:space="preserve">increase the likelihood of </w:t>
      </w:r>
      <w:r w:rsidR="00BA58F1">
        <w:rPr>
          <w:rFonts w:ascii="Arial" w:hAnsi="Arial" w:cs="Arial"/>
          <w:sz w:val="24"/>
        </w:rPr>
        <w:t xml:space="preserve">serving </w:t>
      </w:r>
      <w:r w:rsidR="00AA42F8" w:rsidRPr="006A1A6D">
        <w:rPr>
          <w:rFonts w:ascii="Arial" w:hAnsi="Arial" w:cs="Arial"/>
          <w:sz w:val="24"/>
        </w:rPr>
        <w:t xml:space="preserve">its </w:t>
      </w:r>
      <w:r w:rsidR="00BA58F1">
        <w:rPr>
          <w:rFonts w:ascii="Arial" w:hAnsi="Arial" w:cs="Arial"/>
          <w:sz w:val="24"/>
        </w:rPr>
        <w:t>portfolio purpose</w:t>
      </w:r>
      <w:r w:rsidR="00AA42F8" w:rsidRPr="006A1A6D">
        <w:rPr>
          <w:rFonts w:ascii="Arial" w:hAnsi="Arial" w:cs="Arial"/>
          <w:sz w:val="24"/>
        </w:rPr>
        <w:t>, t</w:t>
      </w:r>
      <w:r w:rsidRPr="006A1A6D">
        <w:rPr>
          <w:rFonts w:ascii="Arial" w:hAnsi="Arial" w:cs="Arial"/>
          <w:sz w:val="24"/>
        </w:rPr>
        <w:t xml:space="preserve">he active management of the </w:t>
      </w:r>
      <w:r w:rsidR="00056BCF">
        <w:rPr>
          <w:rFonts w:ascii="Arial" w:hAnsi="Arial" w:cs="Arial"/>
          <w:sz w:val="24"/>
        </w:rPr>
        <w:t>core fixed income allocation</w:t>
      </w:r>
      <w:r w:rsidR="00056BCF" w:rsidRPr="006A1A6D">
        <w:rPr>
          <w:rFonts w:ascii="Arial" w:hAnsi="Arial" w:cs="Arial"/>
          <w:sz w:val="24"/>
        </w:rPr>
        <w:t xml:space="preserve"> </w:t>
      </w:r>
      <w:r w:rsidRPr="006A1A6D">
        <w:rPr>
          <w:rFonts w:ascii="Arial" w:hAnsi="Arial" w:cs="Arial"/>
          <w:sz w:val="24"/>
        </w:rPr>
        <w:t xml:space="preserve">will be constrained. The </w:t>
      </w:r>
      <w:r w:rsidR="00BA58F1">
        <w:rPr>
          <w:rFonts w:ascii="Arial" w:hAnsi="Arial" w:cs="Arial"/>
          <w:sz w:val="24"/>
        </w:rPr>
        <w:t>c</w:t>
      </w:r>
      <w:r w:rsidRPr="006A1A6D">
        <w:rPr>
          <w:rFonts w:ascii="Arial" w:hAnsi="Arial" w:cs="Arial"/>
          <w:sz w:val="24"/>
        </w:rPr>
        <w:t>ore portfolios are managed with low tracking error targets (</w:t>
      </w:r>
      <w:r w:rsidR="00BA58F1">
        <w:rPr>
          <w:rFonts w:ascii="Arial" w:hAnsi="Arial" w:cs="Arial"/>
          <w:sz w:val="24"/>
        </w:rPr>
        <w:t>±</w:t>
      </w:r>
      <w:r w:rsidR="00BA58F1" w:rsidRPr="00ED3D95">
        <w:rPr>
          <w:rFonts w:ascii="Arial" w:hAnsi="Arial" w:cs="Arial"/>
          <w:sz w:val="24"/>
        </w:rPr>
        <w:t>1</w:t>
      </w:r>
      <w:r w:rsidR="00FE6615">
        <w:rPr>
          <w:rFonts w:ascii="Arial" w:hAnsi="Arial" w:cs="Arial"/>
          <w:sz w:val="24"/>
        </w:rPr>
        <w:t>50</w:t>
      </w:r>
      <w:r w:rsidRPr="006A1A6D">
        <w:rPr>
          <w:rFonts w:ascii="Arial" w:hAnsi="Arial" w:cs="Arial"/>
          <w:sz w:val="24"/>
        </w:rPr>
        <w:t xml:space="preserve"> basis points per year). In addition, </w:t>
      </w:r>
      <w:r w:rsidRPr="006A1A6D">
        <w:rPr>
          <w:rFonts w:ascii="Arial" w:hAnsi="Arial" w:cs="Arial"/>
          <w:sz w:val="24"/>
        </w:rPr>
        <w:lastRenderedPageBreak/>
        <w:t xml:space="preserve">duration </w:t>
      </w:r>
      <w:r w:rsidR="00BA58F1">
        <w:rPr>
          <w:rFonts w:ascii="Arial" w:hAnsi="Arial" w:cs="Arial"/>
          <w:sz w:val="24"/>
        </w:rPr>
        <w:t>of the overall core investments</w:t>
      </w:r>
      <w:r w:rsidRPr="006A1A6D">
        <w:rPr>
          <w:rFonts w:ascii="Arial" w:hAnsi="Arial" w:cs="Arial"/>
          <w:sz w:val="24"/>
        </w:rPr>
        <w:t xml:space="preserve"> will be limited to </w:t>
      </w:r>
      <w:r w:rsidR="00BA58F1">
        <w:rPr>
          <w:rFonts w:ascii="Arial" w:hAnsi="Arial" w:cs="Arial"/>
          <w:sz w:val="24"/>
        </w:rPr>
        <w:t>±</w:t>
      </w:r>
      <w:r w:rsidR="00BA58F1" w:rsidRPr="00ED3D95">
        <w:rPr>
          <w:rFonts w:ascii="Arial" w:hAnsi="Arial" w:cs="Arial"/>
          <w:sz w:val="24"/>
        </w:rPr>
        <w:t>1.0</w:t>
      </w:r>
      <w:r w:rsidRPr="006A1A6D">
        <w:rPr>
          <w:rFonts w:ascii="Arial" w:hAnsi="Arial" w:cs="Arial"/>
          <w:sz w:val="24"/>
        </w:rPr>
        <w:t xml:space="preserve"> year of the benchmark</w:t>
      </w:r>
      <w:r w:rsidR="00BA58F1">
        <w:rPr>
          <w:rFonts w:ascii="Arial" w:hAnsi="Arial" w:cs="Arial"/>
          <w:sz w:val="24"/>
        </w:rPr>
        <w:t>’s</w:t>
      </w:r>
      <w:r w:rsidRPr="006A1A6D">
        <w:rPr>
          <w:rFonts w:ascii="Arial" w:hAnsi="Arial" w:cs="Arial"/>
          <w:sz w:val="24"/>
        </w:rPr>
        <w:t xml:space="preserve"> duration. </w:t>
      </w:r>
    </w:p>
    <w:p w:rsidR="008747FE" w:rsidRPr="006A1A6D" w:rsidRDefault="008747FE" w:rsidP="00B92155">
      <w:pPr>
        <w:spacing w:after="0"/>
        <w:rPr>
          <w:rFonts w:ascii="Arial" w:hAnsi="Arial" w:cs="Arial"/>
          <w:sz w:val="24"/>
        </w:rPr>
      </w:pPr>
    </w:p>
    <w:p w:rsidR="00A720A7" w:rsidRPr="006A1A6D" w:rsidRDefault="00A720A7" w:rsidP="00B92155">
      <w:pPr>
        <w:spacing w:after="0"/>
        <w:rPr>
          <w:rFonts w:ascii="Arial" w:hAnsi="Arial" w:cs="Arial"/>
          <w:sz w:val="24"/>
        </w:rPr>
      </w:pPr>
      <w:r w:rsidRPr="006A1A6D">
        <w:rPr>
          <w:rFonts w:ascii="Arial" w:hAnsi="Arial" w:cs="Arial"/>
          <w:sz w:val="24"/>
        </w:rPr>
        <w:t xml:space="preserve">As of </w:t>
      </w:r>
      <w:r w:rsidR="00056BCF">
        <w:rPr>
          <w:rFonts w:ascii="Arial" w:hAnsi="Arial" w:cs="Arial"/>
          <w:sz w:val="24"/>
        </w:rPr>
        <w:t>March 31, 2015</w:t>
      </w:r>
      <w:r w:rsidRPr="006A1A6D">
        <w:rPr>
          <w:rFonts w:ascii="Arial" w:hAnsi="Arial" w:cs="Arial"/>
          <w:sz w:val="24"/>
        </w:rPr>
        <w:t xml:space="preserve">, the </w:t>
      </w:r>
      <w:r w:rsidR="00056BCF">
        <w:rPr>
          <w:rFonts w:ascii="Arial" w:hAnsi="Arial" w:cs="Arial"/>
          <w:sz w:val="24"/>
        </w:rPr>
        <w:t>policy allocation to c</w:t>
      </w:r>
      <w:r w:rsidRPr="006A1A6D">
        <w:rPr>
          <w:rFonts w:ascii="Arial" w:hAnsi="Arial" w:cs="Arial"/>
          <w:sz w:val="24"/>
        </w:rPr>
        <w:t xml:space="preserve">ore </w:t>
      </w:r>
      <w:r w:rsidR="00056BCF">
        <w:rPr>
          <w:rFonts w:ascii="Arial" w:hAnsi="Arial" w:cs="Arial"/>
          <w:sz w:val="24"/>
        </w:rPr>
        <w:t>f</w:t>
      </w:r>
      <w:r w:rsidR="00A90336" w:rsidRPr="006A1A6D">
        <w:rPr>
          <w:rFonts w:ascii="Arial" w:hAnsi="Arial" w:cs="Arial"/>
          <w:sz w:val="24"/>
        </w:rPr>
        <w:t xml:space="preserve">ixed </w:t>
      </w:r>
      <w:r w:rsidR="00056BCF">
        <w:rPr>
          <w:rFonts w:ascii="Arial" w:hAnsi="Arial" w:cs="Arial"/>
          <w:sz w:val="24"/>
        </w:rPr>
        <w:t>i</w:t>
      </w:r>
      <w:r w:rsidR="00A90336" w:rsidRPr="006A1A6D">
        <w:rPr>
          <w:rFonts w:ascii="Arial" w:hAnsi="Arial" w:cs="Arial"/>
          <w:sz w:val="24"/>
        </w:rPr>
        <w:t xml:space="preserve">ncome </w:t>
      </w:r>
      <w:r w:rsidRPr="006A1A6D">
        <w:rPr>
          <w:rFonts w:ascii="Arial" w:hAnsi="Arial" w:cs="Arial"/>
          <w:sz w:val="24"/>
        </w:rPr>
        <w:t xml:space="preserve">is </w:t>
      </w:r>
      <w:r w:rsidR="00056BCF">
        <w:rPr>
          <w:rFonts w:ascii="Arial" w:hAnsi="Arial" w:cs="Arial"/>
          <w:sz w:val="24"/>
        </w:rPr>
        <w:t xml:space="preserve">15%, </w:t>
      </w:r>
      <w:r w:rsidRPr="006A1A6D">
        <w:rPr>
          <w:rFonts w:ascii="Arial" w:hAnsi="Arial" w:cs="Arial"/>
          <w:sz w:val="24"/>
        </w:rPr>
        <w:t>apportioned:</w:t>
      </w:r>
    </w:p>
    <w:p w:rsidR="00A720A7" w:rsidRPr="006A1A6D" w:rsidRDefault="00A720A7" w:rsidP="00B92155">
      <w:pPr>
        <w:spacing w:after="0"/>
        <w:rPr>
          <w:rFonts w:ascii="Arial" w:hAnsi="Arial" w:cs="Arial"/>
          <w:sz w:val="24"/>
        </w:rPr>
      </w:pPr>
      <w:r w:rsidRPr="006A1A6D">
        <w:rPr>
          <w:rFonts w:ascii="Arial" w:hAnsi="Arial" w:cs="Arial"/>
          <w:sz w:val="24"/>
        </w:rPr>
        <w:tab/>
        <w:t>Mackay Shields</w:t>
      </w:r>
      <w:r w:rsidRPr="006A1A6D">
        <w:rPr>
          <w:rFonts w:ascii="Arial" w:hAnsi="Arial" w:cs="Arial"/>
          <w:sz w:val="24"/>
        </w:rPr>
        <w:tab/>
      </w:r>
      <w:r w:rsidRPr="006A1A6D">
        <w:rPr>
          <w:rFonts w:ascii="Arial" w:hAnsi="Arial" w:cs="Arial"/>
          <w:sz w:val="24"/>
        </w:rPr>
        <w:tab/>
      </w:r>
      <w:r w:rsidRPr="006A1A6D">
        <w:rPr>
          <w:rFonts w:ascii="Arial" w:hAnsi="Arial" w:cs="Arial"/>
          <w:sz w:val="24"/>
        </w:rPr>
        <w:tab/>
      </w:r>
      <w:r w:rsidRPr="006A1A6D">
        <w:rPr>
          <w:rFonts w:ascii="Arial" w:hAnsi="Arial" w:cs="Arial"/>
          <w:sz w:val="24"/>
        </w:rPr>
        <w:tab/>
      </w:r>
      <w:r w:rsidR="00056BCF">
        <w:rPr>
          <w:rFonts w:ascii="Arial" w:hAnsi="Arial" w:cs="Arial"/>
          <w:sz w:val="24"/>
        </w:rPr>
        <w:t>8</w:t>
      </w:r>
      <w:r w:rsidRPr="006A1A6D">
        <w:rPr>
          <w:rFonts w:ascii="Arial" w:hAnsi="Arial" w:cs="Arial"/>
          <w:sz w:val="24"/>
        </w:rPr>
        <w:t>%</w:t>
      </w:r>
    </w:p>
    <w:p w:rsidR="00A720A7" w:rsidRPr="006A1A6D" w:rsidRDefault="00A720A7" w:rsidP="00B92155">
      <w:pPr>
        <w:spacing w:after="0"/>
        <w:rPr>
          <w:rFonts w:ascii="Arial" w:hAnsi="Arial" w:cs="Arial"/>
          <w:sz w:val="24"/>
        </w:rPr>
      </w:pPr>
      <w:r w:rsidRPr="006A1A6D">
        <w:rPr>
          <w:rFonts w:ascii="Arial" w:hAnsi="Arial" w:cs="Arial"/>
          <w:sz w:val="24"/>
        </w:rPr>
        <w:tab/>
      </w:r>
      <w:proofErr w:type="spellStart"/>
      <w:r w:rsidRPr="006A1A6D">
        <w:rPr>
          <w:rFonts w:ascii="Arial" w:hAnsi="Arial" w:cs="Arial"/>
          <w:sz w:val="24"/>
        </w:rPr>
        <w:t>Pyramis</w:t>
      </w:r>
      <w:proofErr w:type="spellEnd"/>
      <w:r w:rsidRPr="006A1A6D">
        <w:rPr>
          <w:rFonts w:ascii="Arial" w:hAnsi="Arial" w:cs="Arial"/>
          <w:sz w:val="24"/>
        </w:rPr>
        <w:t xml:space="preserve"> Global Advisors</w:t>
      </w:r>
      <w:r w:rsidRPr="006A1A6D">
        <w:rPr>
          <w:rFonts w:ascii="Arial" w:hAnsi="Arial" w:cs="Arial"/>
          <w:sz w:val="24"/>
        </w:rPr>
        <w:tab/>
      </w:r>
      <w:r w:rsidRPr="006A1A6D">
        <w:rPr>
          <w:rFonts w:ascii="Arial" w:hAnsi="Arial" w:cs="Arial"/>
          <w:sz w:val="24"/>
        </w:rPr>
        <w:tab/>
      </w:r>
      <w:r w:rsidRPr="006A1A6D">
        <w:rPr>
          <w:rFonts w:ascii="Arial" w:hAnsi="Arial" w:cs="Arial"/>
          <w:sz w:val="24"/>
        </w:rPr>
        <w:tab/>
      </w:r>
      <w:r w:rsidR="00056BCF">
        <w:rPr>
          <w:rFonts w:ascii="Arial" w:hAnsi="Arial" w:cs="Arial"/>
          <w:sz w:val="24"/>
        </w:rPr>
        <w:t>8</w:t>
      </w:r>
      <w:r w:rsidRPr="006A1A6D">
        <w:rPr>
          <w:rFonts w:ascii="Arial" w:hAnsi="Arial" w:cs="Arial"/>
          <w:sz w:val="24"/>
        </w:rPr>
        <w:t>%</w:t>
      </w:r>
    </w:p>
    <w:p w:rsidR="00A720A7" w:rsidRDefault="00A720A7" w:rsidP="00B92155">
      <w:pPr>
        <w:spacing w:after="0"/>
        <w:jc w:val="both"/>
        <w:rPr>
          <w:rFonts w:ascii="Arial" w:hAnsi="Arial" w:cs="Arial"/>
        </w:rPr>
      </w:pPr>
    </w:p>
    <w:p w:rsidR="00056BCF" w:rsidRDefault="00056BCF" w:rsidP="00B92155">
      <w:pPr>
        <w:spacing w:after="0"/>
        <w:jc w:val="both"/>
        <w:rPr>
          <w:rFonts w:ascii="Arial" w:hAnsi="Arial" w:cs="Arial"/>
        </w:rPr>
      </w:pPr>
    </w:p>
    <w:p w:rsidR="00056BCF" w:rsidRDefault="00056BCF" w:rsidP="00B92155">
      <w:pPr>
        <w:spacing w:after="0"/>
        <w:jc w:val="both"/>
        <w:rPr>
          <w:rFonts w:ascii="Arial" w:hAnsi="Arial" w:cs="Arial"/>
        </w:rPr>
      </w:pPr>
    </w:p>
    <w:p w:rsidR="00056BCF" w:rsidRDefault="00056BCF" w:rsidP="00B92155">
      <w:pPr>
        <w:spacing w:after="0"/>
        <w:jc w:val="both"/>
        <w:rPr>
          <w:rFonts w:ascii="Arial" w:hAnsi="Arial" w:cs="Arial"/>
        </w:rPr>
      </w:pPr>
    </w:p>
    <w:p w:rsidR="00056BCF" w:rsidRDefault="00056BCF" w:rsidP="00B92155">
      <w:pPr>
        <w:spacing w:after="0"/>
        <w:jc w:val="both"/>
        <w:rPr>
          <w:rFonts w:ascii="Arial" w:hAnsi="Arial" w:cs="Arial"/>
        </w:rPr>
      </w:pPr>
    </w:p>
    <w:p w:rsidR="00056BCF" w:rsidRDefault="00056BCF" w:rsidP="00B92155">
      <w:pPr>
        <w:spacing w:after="0"/>
        <w:jc w:val="both"/>
        <w:rPr>
          <w:rFonts w:ascii="Arial" w:hAnsi="Arial" w:cs="Arial"/>
        </w:rPr>
      </w:pPr>
    </w:p>
    <w:p w:rsidR="00056BCF" w:rsidRDefault="00056BCF" w:rsidP="00B92155">
      <w:pPr>
        <w:spacing w:after="0"/>
        <w:jc w:val="both"/>
        <w:rPr>
          <w:rFonts w:ascii="Arial" w:hAnsi="Arial" w:cs="Arial"/>
        </w:rPr>
      </w:pPr>
    </w:p>
    <w:p w:rsidR="00056BCF" w:rsidRPr="00ED3D95" w:rsidRDefault="00056BCF" w:rsidP="00ED3D95">
      <w:pPr>
        <w:spacing w:after="0"/>
        <w:rPr>
          <w:rFonts w:ascii="Arial" w:hAnsi="Arial" w:cs="Arial"/>
          <w:sz w:val="18"/>
          <w:szCs w:val="18"/>
        </w:rPr>
      </w:pPr>
      <w:r w:rsidRPr="00ED3D95">
        <w:rPr>
          <w:rFonts w:ascii="Arial" w:hAnsi="Arial" w:cs="Arial"/>
          <w:sz w:val="18"/>
          <w:szCs w:val="18"/>
        </w:rPr>
        <w:t>N.B. Numbers may not add due to rounding. Actual allocations may vary from policy a</w:t>
      </w:r>
      <w:r>
        <w:rPr>
          <w:rFonts w:ascii="Arial" w:hAnsi="Arial" w:cs="Arial"/>
          <w:sz w:val="18"/>
          <w:szCs w:val="18"/>
        </w:rPr>
        <w:t>l</w:t>
      </w:r>
      <w:r w:rsidRPr="00ED3D95">
        <w:rPr>
          <w:rFonts w:ascii="Arial" w:hAnsi="Arial" w:cs="Arial"/>
          <w:sz w:val="18"/>
          <w:szCs w:val="18"/>
        </w:rPr>
        <w:t>locations due to market movements</w:t>
      </w:r>
      <w:r>
        <w:rPr>
          <w:rFonts w:ascii="Arial" w:hAnsi="Arial" w:cs="Arial"/>
          <w:sz w:val="18"/>
          <w:szCs w:val="18"/>
        </w:rPr>
        <w:t xml:space="preserve">, efforts to minimizing trading costs of rebalancing, lags in rebalancing to less liquid asset classes, time required to vet managers, and efforts to diversify vintage year exposures. </w:t>
      </w:r>
    </w:p>
    <w:sectPr w:rsidR="00056BCF" w:rsidRPr="00ED3D95" w:rsidSect="009C52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B0DB5"/>
    <w:multiLevelType w:val="hybridMultilevel"/>
    <w:tmpl w:val="215413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0A7"/>
    <w:rsid w:val="00056BCF"/>
    <w:rsid w:val="00112152"/>
    <w:rsid w:val="00116CC5"/>
    <w:rsid w:val="001D38B8"/>
    <w:rsid w:val="001F1DF9"/>
    <w:rsid w:val="00204392"/>
    <w:rsid w:val="00301ACC"/>
    <w:rsid w:val="003847D0"/>
    <w:rsid w:val="003C63FE"/>
    <w:rsid w:val="003F6410"/>
    <w:rsid w:val="004C34C6"/>
    <w:rsid w:val="004F3366"/>
    <w:rsid w:val="005445A1"/>
    <w:rsid w:val="00561B08"/>
    <w:rsid w:val="005F1D3B"/>
    <w:rsid w:val="0063374B"/>
    <w:rsid w:val="00646E42"/>
    <w:rsid w:val="006A1A6D"/>
    <w:rsid w:val="007F354A"/>
    <w:rsid w:val="008050E7"/>
    <w:rsid w:val="00805A6C"/>
    <w:rsid w:val="008747FE"/>
    <w:rsid w:val="008A0ECA"/>
    <w:rsid w:val="008D27A1"/>
    <w:rsid w:val="008F4481"/>
    <w:rsid w:val="009C529E"/>
    <w:rsid w:val="00A03EF9"/>
    <w:rsid w:val="00A273D1"/>
    <w:rsid w:val="00A71BD8"/>
    <w:rsid w:val="00A720A7"/>
    <w:rsid w:val="00A90336"/>
    <w:rsid w:val="00AA1CAF"/>
    <w:rsid w:val="00AA42F8"/>
    <w:rsid w:val="00AE00A1"/>
    <w:rsid w:val="00B777BB"/>
    <w:rsid w:val="00B92155"/>
    <w:rsid w:val="00BA58F1"/>
    <w:rsid w:val="00C406A3"/>
    <w:rsid w:val="00D06E7D"/>
    <w:rsid w:val="00D1298C"/>
    <w:rsid w:val="00D60D69"/>
    <w:rsid w:val="00E040C6"/>
    <w:rsid w:val="00E3453F"/>
    <w:rsid w:val="00E92C09"/>
    <w:rsid w:val="00ED3D95"/>
    <w:rsid w:val="00F0715C"/>
    <w:rsid w:val="00F453C5"/>
    <w:rsid w:val="00F55B05"/>
    <w:rsid w:val="00F56212"/>
    <w:rsid w:val="00FA6BD7"/>
    <w:rsid w:val="00FB02ED"/>
    <w:rsid w:val="00FE6552"/>
    <w:rsid w:val="00FE6615"/>
    <w:rsid w:val="00FF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5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A1C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1C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1C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C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1CA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C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5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A1C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1C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1C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C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1CA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9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Burns</dc:creator>
  <cp:lastModifiedBy>Mark Rhoads</cp:lastModifiedBy>
  <cp:revision>4</cp:revision>
  <cp:lastPrinted>2015-04-28T19:43:00Z</cp:lastPrinted>
  <dcterms:created xsi:type="dcterms:W3CDTF">2015-04-28T18:56:00Z</dcterms:created>
  <dcterms:modified xsi:type="dcterms:W3CDTF">2015-04-28T19:43:00Z</dcterms:modified>
</cp:coreProperties>
</file>